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3C603" w14:textId="77777777" w:rsidR="00805FFF" w:rsidRPr="009E7A5A" w:rsidRDefault="00805FFF" w:rsidP="00805FFF">
      <w:pPr>
        <w:spacing w:after="120"/>
        <w:rPr>
          <w:rFonts w:ascii="Verdana" w:hAnsi="Verdana" w:cs="Arial"/>
          <w:color w:val="002060"/>
          <w:sz w:val="36"/>
          <w:szCs w:val="36"/>
        </w:rPr>
      </w:pPr>
      <w:r w:rsidRPr="009E7A5A">
        <w:rPr>
          <w:rFonts w:ascii="Verdana" w:hAnsi="Verdana" w:cs="Arial"/>
          <w:b/>
          <w:bCs/>
          <w:noProof/>
          <w:color w:val="002060"/>
          <w:sz w:val="36"/>
          <w:szCs w:val="36"/>
        </w:rPr>
        <w:drawing>
          <wp:anchor distT="0" distB="0" distL="114300" distR="114300" simplePos="0" relativeHeight="251659264" behindDoc="0" locked="0" layoutInCell="1" allowOverlap="1" wp14:anchorId="12803A08" wp14:editId="708E2A0E">
            <wp:simplePos x="0" y="0"/>
            <wp:positionH relativeFrom="column">
              <wp:posOffset>4200609</wp:posOffset>
            </wp:positionH>
            <wp:positionV relativeFrom="paragraph">
              <wp:posOffset>16702</wp:posOffset>
            </wp:positionV>
            <wp:extent cx="1385570" cy="514350"/>
            <wp:effectExtent l="0" t="0" r="0" b="6350"/>
            <wp:wrapNone/>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85570" cy="514350"/>
                    </a:xfrm>
                    <a:prstGeom prst="rect">
                      <a:avLst/>
                    </a:prstGeom>
                  </pic:spPr>
                </pic:pic>
              </a:graphicData>
            </a:graphic>
            <wp14:sizeRelH relativeFrom="page">
              <wp14:pctWidth>0</wp14:pctWidth>
            </wp14:sizeRelH>
            <wp14:sizeRelV relativeFrom="page">
              <wp14:pctHeight>0</wp14:pctHeight>
            </wp14:sizeRelV>
          </wp:anchor>
        </w:drawing>
      </w:r>
      <w:r w:rsidRPr="009E7A5A">
        <w:rPr>
          <w:rStyle w:val="Strong"/>
          <w:rFonts w:ascii="Verdana" w:hAnsi="Verdana" w:cs="Arial"/>
          <w:color w:val="002060"/>
          <w:sz w:val="36"/>
          <w:szCs w:val="36"/>
        </w:rPr>
        <w:t>School of Computer Science</w:t>
      </w:r>
    </w:p>
    <w:p w14:paraId="2A2E9123" w14:textId="1249E9A4" w:rsidR="009E37E0" w:rsidRPr="009E7A5A" w:rsidRDefault="00C8106B" w:rsidP="009E37E0">
      <w:pPr>
        <w:spacing w:before="240"/>
        <w:rPr>
          <w:rFonts w:ascii="Arial" w:hAnsi="Arial" w:cs="Arial"/>
          <w:b/>
          <w:bCs/>
          <w:color w:val="002060"/>
          <w:sz w:val="22"/>
          <w:szCs w:val="22"/>
        </w:rPr>
      </w:pPr>
      <w:r>
        <w:rPr>
          <w:rFonts w:ascii="Arial" w:hAnsi="Arial" w:cs="Arial"/>
          <w:b/>
          <w:bCs/>
          <w:color w:val="002060"/>
          <w:sz w:val="22"/>
          <w:szCs w:val="22"/>
        </w:rPr>
        <w:t>RDF</w:t>
      </w:r>
    </w:p>
    <w:p w14:paraId="2BEDB2DD" w14:textId="2C470182" w:rsidR="00145835" w:rsidRPr="009E7A5A" w:rsidRDefault="009E37E0" w:rsidP="009E37E0">
      <w:pPr>
        <w:spacing w:before="240" w:after="240"/>
        <w:rPr>
          <w:rFonts w:ascii="Arial" w:hAnsi="Arial" w:cs="Arial"/>
          <w:color w:val="002060"/>
          <w:sz w:val="22"/>
          <w:szCs w:val="22"/>
        </w:rPr>
      </w:pPr>
      <w:r w:rsidRPr="009E7A5A">
        <w:rPr>
          <w:rFonts w:ascii="Arial" w:hAnsi="Arial" w:cs="Arial"/>
          <w:b/>
          <w:bCs/>
          <w:color w:val="002060"/>
          <w:sz w:val="22"/>
          <w:szCs w:val="22"/>
        </w:rPr>
        <w:t>Group leader:</w:t>
      </w:r>
      <w:r w:rsidR="002C7DF7">
        <w:rPr>
          <w:rFonts w:ascii="Arial" w:hAnsi="Arial" w:cs="Arial"/>
          <w:b/>
          <w:bCs/>
          <w:color w:val="002060"/>
          <w:sz w:val="22"/>
          <w:szCs w:val="22"/>
        </w:rPr>
        <w:t xml:space="preserve"> </w:t>
      </w:r>
      <w:r w:rsidR="00C8106B" w:rsidRPr="00C8106B">
        <w:rPr>
          <w:rFonts w:ascii="Arial" w:hAnsi="Arial" w:cs="Arial"/>
          <w:b/>
          <w:bCs/>
          <w:color w:val="002060"/>
          <w:sz w:val="22"/>
          <w:szCs w:val="22"/>
        </w:rPr>
        <w:t>Bernd Stahl</w:t>
      </w:r>
    </w:p>
    <w:p w14:paraId="7B7DA443" w14:textId="77777777" w:rsidR="006C3194" w:rsidRPr="006C3194" w:rsidRDefault="00654DF5" w:rsidP="006C3194">
      <w:pPr>
        <w:rPr>
          <w:rFonts w:ascii="Arial" w:hAnsi="Arial" w:cs="Arial"/>
          <w:b/>
          <w:bCs/>
          <w:color w:val="00B050"/>
          <w:sz w:val="22"/>
          <w:szCs w:val="22"/>
        </w:rPr>
      </w:pPr>
      <w:r w:rsidRPr="00467480">
        <w:rPr>
          <w:rFonts w:ascii="Arial" w:hAnsi="Arial" w:cs="Arial"/>
          <w:b/>
          <w:bCs/>
          <w:caps/>
          <w:color w:val="0070C0"/>
          <w:sz w:val="22"/>
          <w:szCs w:val="22"/>
        </w:rPr>
        <w:t>Field-</w:t>
      </w:r>
      <w:r w:rsidR="003F15C9" w:rsidRPr="00467480">
        <w:rPr>
          <w:rFonts w:ascii="Arial" w:hAnsi="Arial" w:cs="Arial"/>
          <w:b/>
          <w:bCs/>
          <w:caps/>
          <w:color w:val="0070C0"/>
          <w:sz w:val="22"/>
          <w:szCs w:val="22"/>
        </w:rPr>
        <w:t>w</w:t>
      </w:r>
      <w:r w:rsidRPr="00467480">
        <w:rPr>
          <w:rFonts w:ascii="Arial" w:hAnsi="Arial" w:cs="Arial"/>
          <w:b/>
          <w:bCs/>
          <w:caps/>
          <w:color w:val="0070C0"/>
          <w:sz w:val="22"/>
          <w:szCs w:val="22"/>
        </w:rPr>
        <w:t xml:space="preserve">eighted </w:t>
      </w:r>
      <w:r w:rsidR="003F15C9" w:rsidRPr="00467480">
        <w:rPr>
          <w:rFonts w:ascii="Arial" w:hAnsi="Arial" w:cs="Arial"/>
          <w:b/>
          <w:bCs/>
          <w:caps/>
          <w:color w:val="0070C0"/>
          <w:sz w:val="22"/>
          <w:szCs w:val="22"/>
        </w:rPr>
        <w:t>c</w:t>
      </w:r>
      <w:r w:rsidRPr="00467480">
        <w:rPr>
          <w:rFonts w:ascii="Arial" w:hAnsi="Arial" w:cs="Arial"/>
          <w:b/>
          <w:bCs/>
          <w:caps/>
          <w:color w:val="0070C0"/>
          <w:sz w:val="22"/>
          <w:szCs w:val="22"/>
        </w:rPr>
        <w:t xml:space="preserve">itation </w:t>
      </w:r>
      <w:r w:rsidR="003F15C9" w:rsidRPr="00467480">
        <w:rPr>
          <w:rFonts w:ascii="Arial" w:hAnsi="Arial" w:cs="Arial"/>
          <w:b/>
          <w:bCs/>
          <w:caps/>
          <w:color w:val="0070C0"/>
          <w:sz w:val="22"/>
          <w:szCs w:val="22"/>
        </w:rPr>
        <w:t>i</w:t>
      </w:r>
      <w:r w:rsidRPr="00467480">
        <w:rPr>
          <w:rFonts w:ascii="Arial" w:hAnsi="Arial" w:cs="Arial"/>
          <w:b/>
          <w:bCs/>
          <w:caps/>
          <w:color w:val="0070C0"/>
          <w:sz w:val="22"/>
          <w:szCs w:val="22"/>
        </w:rPr>
        <w:t xml:space="preserve">mpact </w:t>
      </w:r>
      <w:r w:rsidR="00F94C79" w:rsidRPr="00467480">
        <w:rPr>
          <w:rFonts w:ascii="Arial" w:hAnsi="Arial" w:cs="Arial"/>
          <w:b/>
          <w:bCs/>
          <w:caps/>
          <w:color w:val="0070C0"/>
          <w:sz w:val="22"/>
          <w:szCs w:val="22"/>
        </w:rPr>
        <w:t>(FWC</w:t>
      </w:r>
      <w:r w:rsidR="00C4787E" w:rsidRPr="008E3808">
        <w:rPr>
          <w:rFonts w:ascii="Arial" w:hAnsi="Arial" w:cs="Arial"/>
          <w:b/>
          <w:bCs/>
          <w:caps/>
          <w:color w:val="0070C0"/>
          <w:sz w:val="22"/>
          <w:szCs w:val="22"/>
        </w:rPr>
        <w:t>I)</w:t>
      </w:r>
      <w:r w:rsidR="00C4787E" w:rsidRPr="008E3808">
        <w:rPr>
          <w:rFonts w:ascii="Arial" w:hAnsi="Arial" w:cs="Arial"/>
          <w:b/>
          <w:bCs/>
          <w:color w:val="0070C0"/>
          <w:sz w:val="22"/>
          <w:szCs w:val="22"/>
        </w:rPr>
        <w:t xml:space="preserve"> </w:t>
      </w:r>
      <w:r w:rsidR="006C3194" w:rsidRPr="006C3194">
        <w:rPr>
          <w:rFonts w:ascii="Arial" w:hAnsi="Arial" w:cs="Arial"/>
          <w:b/>
          <w:bCs/>
          <w:color w:val="0070C0"/>
          <w:sz w:val="22"/>
          <w:szCs w:val="22"/>
        </w:rPr>
        <w:t xml:space="preserve">KPI: </w:t>
      </w:r>
      <w:r w:rsidR="006C3194" w:rsidRPr="009E7A5A">
        <w:rPr>
          <w:rFonts w:ascii="Arial" w:hAnsi="Arial" w:cs="Arial"/>
          <w:b/>
          <w:bCs/>
          <w:color w:val="0070C0"/>
          <w:sz w:val="22"/>
          <w:szCs w:val="22"/>
        </w:rPr>
        <w:t>20% in top 10%</w:t>
      </w:r>
    </w:p>
    <w:p w14:paraId="174E1FC4" w14:textId="77777777" w:rsidR="007214BD" w:rsidRDefault="007214BD" w:rsidP="007214BD">
      <w:pPr>
        <w:rPr>
          <w:rFonts w:ascii="Arial" w:hAnsi="Arial" w:cs="Arial"/>
          <w:b/>
          <w:bCs/>
          <w:color w:val="0070C0"/>
          <w:sz w:val="22"/>
          <w:szCs w:val="22"/>
        </w:rPr>
      </w:pPr>
    </w:p>
    <w:p w14:paraId="055AF23C" w14:textId="31A455B1" w:rsidR="00DF1423" w:rsidRPr="00BD2CFB" w:rsidRDefault="00DF1423" w:rsidP="00DF1423">
      <w:pPr>
        <w:pStyle w:val="ListParagraph"/>
        <w:numPr>
          <w:ilvl w:val="0"/>
          <w:numId w:val="4"/>
        </w:numPr>
        <w:spacing w:after="240"/>
        <w:ind w:left="714" w:hanging="357"/>
        <w:rPr>
          <w:rFonts w:ascii="Arial" w:hAnsi="Arial" w:cs="Arial"/>
          <w:b/>
          <w:bCs/>
          <w:color w:val="002060"/>
        </w:rPr>
      </w:pPr>
      <w:r>
        <w:rPr>
          <w:rFonts w:ascii="Arial" w:hAnsi="Arial" w:cs="Arial"/>
          <w:b/>
          <w:bCs/>
          <w:color w:val="002060"/>
        </w:rPr>
        <w:t>S</w:t>
      </w:r>
      <w:r w:rsidRPr="00BD2CFB">
        <w:rPr>
          <w:rFonts w:ascii="Arial" w:hAnsi="Arial" w:cs="Arial"/>
          <w:b/>
          <w:bCs/>
          <w:color w:val="002060"/>
        </w:rPr>
        <w:t>ummary</w:t>
      </w:r>
      <w:r>
        <w:rPr>
          <w:rFonts w:ascii="Arial" w:hAnsi="Arial" w:cs="Arial"/>
          <w:b/>
          <w:bCs/>
          <w:color w:val="002060"/>
        </w:rPr>
        <w:t xml:space="preserve"> (from January 2021)</w:t>
      </w:r>
      <w:r w:rsidR="00903893">
        <w:rPr>
          <w:rFonts w:ascii="Arial" w:hAnsi="Arial" w:cs="Arial"/>
          <w:b/>
          <w:bCs/>
          <w:color w:val="002060"/>
        </w:rPr>
        <w:t xml:space="preserve"> </w:t>
      </w:r>
      <w:r w:rsidR="00903893" w:rsidRPr="004B6DA5">
        <w:rPr>
          <w:rFonts w:ascii="Arial" w:hAnsi="Arial" w:cs="Arial"/>
          <w:b/>
          <w:bCs/>
          <w:color w:val="002060"/>
        </w:rPr>
        <w:t xml:space="preserve">as of </w:t>
      </w:r>
      <w:r w:rsidR="00903893">
        <w:rPr>
          <w:rFonts w:ascii="Arial" w:hAnsi="Arial" w:cs="Arial"/>
          <w:b/>
          <w:bCs/>
          <w:color w:val="002060"/>
        </w:rPr>
        <w:t>02/09</w:t>
      </w:r>
      <w:r w:rsidR="00903893" w:rsidRPr="004B6DA5">
        <w:rPr>
          <w:rFonts w:ascii="Arial" w:hAnsi="Arial" w:cs="Arial"/>
          <w:b/>
          <w:bCs/>
          <w:color w:val="002060"/>
        </w:rPr>
        <w:t>/202</w:t>
      </w:r>
      <w:r w:rsidR="00903893">
        <w:rPr>
          <w:rFonts w:ascii="Arial" w:hAnsi="Arial" w:cs="Arial"/>
          <w:b/>
          <w:bCs/>
          <w:color w:val="002060"/>
        </w:rPr>
        <w:t>6:</w:t>
      </w:r>
    </w:p>
    <w:p w14:paraId="7EDFFAE1" w14:textId="28DB032E" w:rsidR="006941EC" w:rsidRPr="00910928" w:rsidRDefault="006941EC" w:rsidP="006941EC">
      <w:pPr>
        <w:pStyle w:val="ListParagraph"/>
        <w:numPr>
          <w:ilvl w:val="0"/>
          <w:numId w:val="7"/>
        </w:numPr>
        <w:tabs>
          <w:tab w:val="left" w:pos="7371"/>
        </w:tabs>
        <w:spacing w:after="240"/>
        <w:rPr>
          <w:rFonts w:ascii="Arial" w:hAnsi="Arial" w:cs="Arial"/>
          <w:b/>
          <w:bCs/>
          <w:color w:val="002060"/>
        </w:rPr>
      </w:pPr>
      <w:r w:rsidRPr="00910928">
        <w:rPr>
          <w:rFonts w:ascii="Arial" w:hAnsi="Arial" w:cs="Arial"/>
          <w:b/>
          <w:bCs/>
          <w:color w:val="002060"/>
        </w:rPr>
        <w:t xml:space="preserve">Total number of outputs: </w:t>
      </w:r>
      <w:r>
        <w:rPr>
          <w:rFonts w:ascii="Arial" w:hAnsi="Arial" w:cs="Arial"/>
          <w:b/>
          <w:bCs/>
          <w:color w:val="002060"/>
        </w:rPr>
        <w:tab/>
      </w:r>
      <w:r w:rsidR="007D41B0">
        <w:rPr>
          <w:rFonts w:ascii="Arial" w:hAnsi="Arial" w:cs="Arial"/>
        </w:rPr>
        <w:t>115</w:t>
      </w:r>
    </w:p>
    <w:p w14:paraId="71A898C6" w14:textId="0F9713A5" w:rsidR="006941EC" w:rsidRPr="00910928" w:rsidRDefault="006941EC" w:rsidP="006941EC">
      <w:pPr>
        <w:pStyle w:val="ListParagraph"/>
        <w:numPr>
          <w:ilvl w:val="0"/>
          <w:numId w:val="7"/>
        </w:numPr>
        <w:tabs>
          <w:tab w:val="left" w:pos="7371"/>
        </w:tabs>
        <w:spacing w:after="240"/>
        <w:rPr>
          <w:rFonts w:ascii="Arial" w:hAnsi="Arial" w:cs="Arial"/>
          <w:b/>
          <w:bCs/>
          <w:color w:val="002060"/>
        </w:rPr>
      </w:pPr>
      <w:r w:rsidRPr="00910928">
        <w:rPr>
          <w:rFonts w:ascii="Arial" w:hAnsi="Arial" w:cs="Arial"/>
          <w:b/>
          <w:bCs/>
          <w:color w:val="002060"/>
        </w:rPr>
        <w:t xml:space="preserve">Total number of outputs with FWCI above 1 (average): </w:t>
      </w:r>
      <w:r>
        <w:rPr>
          <w:rFonts w:ascii="Arial" w:hAnsi="Arial" w:cs="Arial"/>
          <w:b/>
          <w:bCs/>
          <w:color w:val="002060"/>
        </w:rPr>
        <w:tab/>
      </w:r>
      <w:r w:rsidR="007D41B0">
        <w:rPr>
          <w:rFonts w:ascii="Arial" w:hAnsi="Arial" w:cs="Arial"/>
        </w:rPr>
        <w:t>5</w:t>
      </w:r>
      <w:r w:rsidR="00EB2F33">
        <w:rPr>
          <w:rFonts w:ascii="Arial" w:hAnsi="Arial" w:cs="Arial"/>
        </w:rPr>
        <w:t>7</w:t>
      </w:r>
      <w:r w:rsidRPr="006A1681">
        <w:rPr>
          <w:rFonts w:ascii="Arial" w:hAnsi="Arial" w:cs="Arial"/>
        </w:rPr>
        <w:t xml:space="preserve"> &amp; %</w:t>
      </w:r>
      <w:r w:rsidR="007D41B0">
        <w:rPr>
          <w:rFonts w:ascii="Arial" w:hAnsi="Arial" w:cs="Arial"/>
        </w:rPr>
        <w:t>50</w:t>
      </w:r>
    </w:p>
    <w:p w14:paraId="6BF9DAB0" w14:textId="068E1DF7" w:rsidR="006941EC" w:rsidRPr="00910928" w:rsidRDefault="006941EC" w:rsidP="006941EC">
      <w:pPr>
        <w:pStyle w:val="ListParagraph"/>
        <w:numPr>
          <w:ilvl w:val="0"/>
          <w:numId w:val="7"/>
        </w:numPr>
        <w:tabs>
          <w:tab w:val="left" w:pos="7371"/>
        </w:tabs>
        <w:spacing w:after="240"/>
        <w:rPr>
          <w:rFonts w:ascii="Arial" w:hAnsi="Arial" w:cs="Arial"/>
          <w:b/>
          <w:bCs/>
          <w:color w:val="002060"/>
        </w:rPr>
      </w:pPr>
      <w:r w:rsidRPr="00910928">
        <w:rPr>
          <w:rFonts w:ascii="Arial" w:hAnsi="Arial" w:cs="Arial"/>
          <w:b/>
          <w:bCs/>
          <w:color w:val="002060"/>
        </w:rPr>
        <w:t>Total number of outputs with FW</w:t>
      </w:r>
      <w:r w:rsidR="000F6D1D">
        <w:rPr>
          <w:rFonts w:ascii="Arial" w:hAnsi="Arial" w:cs="Arial"/>
          <w:b/>
          <w:bCs/>
          <w:color w:val="002060"/>
        </w:rPr>
        <w:t>C</w:t>
      </w:r>
      <w:r w:rsidRPr="00910928">
        <w:rPr>
          <w:rFonts w:ascii="Arial" w:hAnsi="Arial" w:cs="Arial"/>
          <w:b/>
          <w:bCs/>
          <w:color w:val="002060"/>
        </w:rPr>
        <w:t xml:space="preserve">I in Top 10%: </w:t>
      </w:r>
      <w:r>
        <w:rPr>
          <w:rFonts w:ascii="Arial" w:hAnsi="Arial" w:cs="Arial"/>
          <w:b/>
          <w:bCs/>
          <w:color w:val="002060"/>
        </w:rPr>
        <w:tab/>
      </w:r>
      <w:r w:rsidR="007D41B0">
        <w:rPr>
          <w:rFonts w:ascii="Arial" w:hAnsi="Arial" w:cs="Arial"/>
        </w:rPr>
        <w:t>31</w:t>
      </w:r>
      <w:r w:rsidRPr="006A1681">
        <w:rPr>
          <w:rFonts w:ascii="Arial" w:hAnsi="Arial" w:cs="Arial"/>
        </w:rPr>
        <w:t xml:space="preserve"> &amp; %</w:t>
      </w:r>
      <w:r w:rsidR="00EB2F33">
        <w:rPr>
          <w:rFonts w:ascii="Arial" w:hAnsi="Arial" w:cs="Arial"/>
        </w:rPr>
        <w:t>2</w:t>
      </w:r>
      <w:r w:rsidR="007D41B0">
        <w:rPr>
          <w:rFonts w:ascii="Arial" w:hAnsi="Arial" w:cs="Arial"/>
        </w:rPr>
        <w:t>7</w:t>
      </w:r>
    </w:p>
    <w:p w14:paraId="6B478E64" w14:textId="57E64CC8" w:rsidR="006941EC" w:rsidRDefault="006941EC" w:rsidP="006941EC">
      <w:pPr>
        <w:pStyle w:val="ListParagraph"/>
        <w:numPr>
          <w:ilvl w:val="0"/>
          <w:numId w:val="7"/>
        </w:numPr>
        <w:tabs>
          <w:tab w:val="left" w:pos="7371"/>
        </w:tabs>
        <w:spacing w:after="240"/>
        <w:rPr>
          <w:rFonts w:ascii="Arial" w:hAnsi="Arial" w:cs="Arial"/>
          <w:b/>
          <w:bCs/>
          <w:color w:val="002060"/>
        </w:rPr>
      </w:pPr>
      <w:r w:rsidRPr="00910928">
        <w:rPr>
          <w:rFonts w:ascii="Arial" w:hAnsi="Arial" w:cs="Arial"/>
          <w:b/>
          <w:bCs/>
          <w:color w:val="002060"/>
        </w:rPr>
        <w:t xml:space="preserve">Total number of outputs with Citations in Top 10%: </w:t>
      </w:r>
      <w:r>
        <w:rPr>
          <w:rFonts w:ascii="Arial" w:hAnsi="Arial" w:cs="Arial"/>
          <w:b/>
          <w:bCs/>
          <w:color w:val="002060"/>
        </w:rPr>
        <w:tab/>
      </w:r>
      <w:r w:rsidR="007D41B0">
        <w:rPr>
          <w:rFonts w:ascii="Arial" w:hAnsi="Arial" w:cs="Arial"/>
        </w:rPr>
        <w:t>22</w:t>
      </w:r>
      <w:r w:rsidRPr="006A1681">
        <w:rPr>
          <w:rFonts w:ascii="Arial" w:hAnsi="Arial" w:cs="Arial"/>
        </w:rPr>
        <w:t xml:space="preserve"> &amp; %</w:t>
      </w:r>
      <w:r w:rsidR="00EB2F33">
        <w:rPr>
          <w:rFonts w:ascii="Arial" w:hAnsi="Arial" w:cs="Arial"/>
        </w:rPr>
        <w:t>19</w:t>
      </w:r>
    </w:p>
    <w:p w14:paraId="1A1315C6" w14:textId="08C5CBE3" w:rsidR="005B78BF" w:rsidRPr="00E86703" w:rsidRDefault="00DF1423" w:rsidP="008B7D81">
      <w:pPr>
        <w:spacing w:after="240"/>
        <w:rPr>
          <w:rFonts w:ascii="Arial" w:hAnsi="Arial" w:cs="Arial"/>
          <w:b/>
          <w:bCs/>
          <w:color w:val="002060"/>
          <w:sz w:val="22"/>
          <w:szCs w:val="22"/>
        </w:rPr>
      </w:pPr>
      <w:r>
        <w:rPr>
          <w:rFonts w:ascii="Arial" w:hAnsi="Arial" w:cs="Arial"/>
          <w:b/>
          <w:bCs/>
          <w:color w:val="002060"/>
          <w:sz w:val="22"/>
          <w:szCs w:val="22"/>
        </w:rPr>
        <w:t>From January 2021</w:t>
      </w:r>
      <w:r w:rsidR="00F15C6C">
        <w:rPr>
          <w:rFonts w:ascii="Arial" w:hAnsi="Arial" w:cs="Arial"/>
          <w:b/>
          <w:bCs/>
          <w:color w:val="002060"/>
          <w:sz w:val="22"/>
          <w:szCs w:val="22"/>
        </w:rPr>
        <w:t xml:space="preserve"> </w:t>
      </w:r>
      <w:r w:rsidR="00F15C6C" w:rsidRPr="00F237D6">
        <w:rPr>
          <w:rFonts w:ascii="Arial" w:hAnsi="Arial" w:cs="Arial"/>
          <w:color w:val="000000" w:themeColor="text1"/>
          <w:sz w:val="22"/>
          <w:szCs w:val="22"/>
        </w:rPr>
        <w:t xml:space="preserve">(Sorted </w:t>
      </w:r>
      <w:r w:rsidR="00F15C6C">
        <w:rPr>
          <w:rFonts w:ascii="Arial" w:hAnsi="Arial" w:cs="Arial"/>
          <w:color w:val="000000" w:themeColor="text1"/>
          <w:sz w:val="22"/>
          <w:szCs w:val="22"/>
        </w:rPr>
        <w:t>first by FWCI and then publication year</w:t>
      </w:r>
      <w:r w:rsidR="00F15C6C" w:rsidRPr="00F237D6">
        <w:rPr>
          <w:rFonts w:ascii="Arial" w:hAnsi="Arial" w:cs="Arial"/>
          <w:color w:val="000000" w:themeColor="text1"/>
          <w:sz w:val="22"/>
          <w:szCs w:val="22"/>
        </w:rPr>
        <w:t xml:space="preserve"> </w:t>
      </w:r>
      <w:r w:rsidR="00F15C6C">
        <w:rPr>
          <w:rFonts w:ascii="Arial" w:hAnsi="Arial" w:cs="Arial"/>
          <w:color w:val="000000" w:themeColor="text1"/>
          <w:sz w:val="22"/>
          <w:szCs w:val="22"/>
        </w:rPr>
        <w:t>in d</w:t>
      </w:r>
      <w:r w:rsidR="00F15C6C" w:rsidRPr="00F237D6">
        <w:rPr>
          <w:rFonts w:ascii="Arial" w:hAnsi="Arial" w:cs="Arial"/>
          <w:color w:val="000000" w:themeColor="text1"/>
          <w:sz w:val="22"/>
          <w:szCs w:val="22"/>
        </w:rPr>
        <w:t>e</w:t>
      </w:r>
      <w:r w:rsidR="00F15C6C">
        <w:rPr>
          <w:rFonts w:ascii="Arial" w:hAnsi="Arial" w:cs="Arial"/>
          <w:color w:val="000000" w:themeColor="text1"/>
          <w:sz w:val="22"/>
          <w:szCs w:val="22"/>
        </w:rPr>
        <w:t>s</w:t>
      </w:r>
      <w:r w:rsidR="00F15C6C" w:rsidRPr="00F237D6">
        <w:rPr>
          <w:rFonts w:ascii="Arial" w:hAnsi="Arial" w:cs="Arial"/>
          <w:color w:val="000000" w:themeColor="text1"/>
          <w:sz w:val="22"/>
          <w:szCs w:val="22"/>
        </w:rPr>
        <w:t>c</w:t>
      </w:r>
      <w:r w:rsidR="00F15C6C">
        <w:rPr>
          <w:rFonts w:ascii="Arial" w:hAnsi="Arial" w:cs="Arial"/>
          <w:color w:val="000000" w:themeColor="text1"/>
          <w:sz w:val="22"/>
          <w:szCs w:val="22"/>
        </w:rPr>
        <w:t xml:space="preserve">ending order, Percentile is </w:t>
      </w:r>
      <w:r w:rsidR="00F15C6C" w:rsidRPr="00F54C7B">
        <w:rPr>
          <w:rFonts w:ascii="Arial" w:hAnsi="Arial" w:cs="Arial"/>
          <w:color w:val="000000" w:themeColor="text1"/>
          <w:sz w:val="22"/>
          <w:szCs w:val="22"/>
        </w:rPr>
        <w:t>Field-Weighted Outputs in Top Citation Percentiles, per percentile</w:t>
      </w:r>
      <w:r w:rsidR="00F15C6C" w:rsidRPr="00F237D6">
        <w:rPr>
          <w:rFonts w:ascii="Arial" w:hAnsi="Arial" w:cs="Arial"/>
          <w:color w:val="000000" w:themeColor="text1"/>
          <w:sz w:val="22"/>
          <w:szCs w:val="22"/>
        </w:rPr>
        <w:t>)</w:t>
      </w:r>
    </w:p>
    <w:tbl>
      <w:tblPr>
        <w:tblW w:w="9060" w:type="dxa"/>
        <w:tblLook w:val="04A0" w:firstRow="1" w:lastRow="0" w:firstColumn="1" w:lastColumn="0" w:noHBand="0" w:noVBand="1"/>
      </w:tblPr>
      <w:tblGrid>
        <w:gridCol w:w="6440"/>
        <w:gridCol w:w="1072"/>
        <w:gridCol w:w="1173"/>
        <w:gridCol w:w="727"/>
      </w:tblGrid>
      <w:tr w:rsidR="005A5CB5" w:rsidRPr="005A5CB5" w14:paraId="6D2515FA" w14:textId="77777777" w:rsidTr="005A5CB5">
        <w:trPr>
          <w:trHeight w:val="290"/>
        </w:trPr>
        <w:tc>
          <w:tcPr>
            <w:tcW w:w="6440" w:type="dxa"/>
            <w:tcBorders>
              <w:top w:val="single" w:sz="4" w:space="0" w:color="auto"/>
              <w:left w:val="single" w:sz="4" w:space="0" w:color="auto"/>
              <w:bottom w:val="single" w:sz="4" w:space="0" w:color="auto"/>
              <w:right w:val="single" w:sz="4" w:space="0" w:color="auto"/>
            </w:tcBorders>
            <w:noWrap/>
            <w:vAlign w:val="bottom"/>
            <w:hideMark/>
          </w:tcPr>
          <w:p w14:paraId="4C73BABC" w14:textId="77777777" w:rsidR="005A5CB5" w:rsidRPr="005A5CB5" w:rsidRDefault="005A5CB5" w:rsidP="005A5CB5">
            <w:pPr>
              <w:rPr>
                <w:rFonts w:ascii="Arial" w:eastAsia="Times New Roman" w:hAnsi="Arial" w:cs="Arial"/>
                <w:b/>
                <w:bCs/>
                <w:color w:val="002060"/>
                <w:sz w:val="20"/>
                <w:szCs w:val="20"/>
                <w:lang w:eastAsia="en-GB"/>
              </w:rPr>
            </w:pPr>
            <w:r w:rsidRPr="005A5CB5">
              <w:rPr>
                <w:rFonts w:ascii="Arial" w:eastAsia="Times New Roman" w:hAnsi="Arial" w:cs="Arial"/>
                <w:b/>
                <w:bCs/>
                <w:color w:val="002060"/>
                <w:sz w:val="20"/>
                <w:szCs w:val="20"/>
                <w:lang w:eastAsia="en-GB"/>
              </w:rPr>
              <w:t>Outputs</w:t>
            </w:r>
          </w:p>
        </w:tc>
        <w:tc>
          <w:tcPr>
            <w:tcW w:w="940" w:type="dxa"/>
            <w:tcBorders>
              <w:top w:val="single" w:sz="4" w:space="0" w:color="auto"/>
              <w:left w:val="nil"/>
              <w:bottom w:val="single" w:sz="4" w:space="0" w:color="auto"/>
              <w:right w:val="single" w:sz="4" w:space="0" w:color="auto"/>
            </w:tcBorders>
            <w:noWrap/>
            <w:vAlign w:val="bottom"/>
            <w:hideMark/>
          </w:tcPr>
          <w:p w14:paraId="0ECF8FE6" w14:textId="77777777" w:rsidR="005A5CB5" w:rsidRPr="005A5CB5" w:rsidRDefault="005A5CB5" w:rsidP="005A5CB5">
            <w:pPr>
              <w:jc w:val="center"/>
              <w:rPr>
                <w:rFonts w:ascii="Arial" w:eastAsia="Times New Roman" w:hAnsi="Arial" w:cs="Arial"/>
                <w:b/>
                <w:bCs/>
                <w:color w:val="002060"/>
                <w:sz w:val="20"/>
                <w:szCs w:val="20"/>
                <w:lang w:eastAsia="en-GB"/>
              </w:rPr>
            </w:pPr>
            <w:r w:rsidRPr="005A5CB5">
              <w:rPr>
                <w:rFonts w:ascii="Arial" w:eastAsia="Times New Roman" w:hAnsi="Arial" w:cs="Arial"/>
                <w:b/>
                <w:bCs/>
                <w:color w:val="002060"/>
                <w:sz w:val="20"/>
                <w:szCs w:val="20"/>
                <w:lang w:eastAsia="en-GB"/>
              </w:rPr>
              <w:t>Citations</w:t>
            </w:r>
          </w:p>
        </w:tc>
        <w:tc>
          <w:tcPr>
            <w:tcW w:w="1040" w:type="dxa"/>
            <w:tcBorders>
              <w:top w:val="single" w:sz="4" w:space="0" w:color="auto"/>
              <w:left w:val="nil"/>
              <w:bottom w:val="single" w:sz="4" w:space="0" w:color="auto"/>
              <w:right w:val="single" w:sz="4" w:space="0" w:color="auto"/>
            </w:tcBorders>
            <w:noWrap/>
            <w:vAlign w:val="bottom"/>
            <w:hideMark/>
          </w:tcPr>
          <w:p w14:paraId="4BD0169D" w14:textId="77777777" w:rsidR="005A5CB5" w:rsidRPr="005A5CB5" w:rsidRDefault="005A5CB5" w:rsidP="005A5CB5">
            <w:pPr>
              <w:jc w:val="center"/>
              <w:rPr>
                <w:rFonts w:ascii="Arial" w:eastAsia="Times New Roman" w:hAnsi="Arial" w:cs="Arial"/>
                <w:b/>
                <w:bCs/>
                <w:color w:val="002060"/>
                <w:sz w:val="20"/>
                <w:szCs w:val="20"/>
                <w:lang w:eastAsia="en-GB"/>
              </w:rPr>
            </w:pPr>
            <w:r w:rsidRPr="005A5CB5">
              <w:rPr>
                <w:rFonts w:ascii="Arial" w:eastAsia="Times New Roman" w:hAnsi="Arial" w:cs="Arial"/>
                <w:b/>
                <w:bCs/>
                <w:color w:val="002060"/>
                <w:sz w:val="20"/>
                <w:szCs w:val="20"/>
                <w:lang w:eastAsia="en-GB"/>
              </w:rPr>
              <w:t>Percentile</w:t>
            </w:r>
          </w:p>
        </w:tc>
        <w:tc>
          <w:tcPr>
            <w:tcW w:w="640" w:type="dxa"/>
            <w:tcBorders>
              <w:top w:val="single" w:sz="4" w:space="0" w:color="auto"/>
              <w:left w:val="nil"/>
              <w:bottom w:val="single" w:sz="4" w:space="0" w:color="auto"/>
              <w:right w:val="single" w:sz="4" w:space="0" w:color="auto"/>
            </w:tcBorders>
            <w:noWrap/>
            <w:vAlign w:val="bottom"/>
            <w:hideMark/>
          </w:tcPr>
          <w:p w14:paraId="09005763" w14:textId="77777777" w:rsidR="005A5CB5" w:rsidRPr="005A5CB5" w:rsidRDefault="005A5CB5" w:rsidP="005A5CB5">
            <w:pPr>
              <w:jc w:val="center"/>
              <w:rPr>
                <w:rFonts w:ascii="Arial" w:eastAsia="Times New Roman" w:hAnsi="Arial" w:cs="Arial"/>
                <w:b/>
                <w:bCs/>
                <w:color w:val="002060"/>
                <w:sz w:val="20"/>
                <w:szCs w:val="20"/>
                <w:lang w:eastAsia="en-GB"/>
              </w:rPr>
            </w:pPr>
            <w:r w:rsidRPr="005A5CB5">
              <w:rPr>
                <w:rFonts w:ascii="Arial" w:eastAsia="Times New Roman" w:hAnsi="Arial" w:cs="Arial"/>
                <w:b/>
                <w:bCs/>
                <w:color w:val="002060"/>
                <w:sz w:val="20"/>
                <w:szCs w:val="20"/>
                <w:lang w:eastAsia="en-GB"/>
              </w:rPr>
              <w:t>FWCI</w:t>
            </w:r>
          </w:p>
        </w:tc>
      </w:tr>
      <w:tr w:rsidR="005A5CB5" w:rsidRPr="005A5CB5" w14:paraId="13838CE1"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42C90DA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Dwivedi, Y.K., Kshetri, N., Hughes, L., Slade, E.L., Jeyaraj, A., Kar, A.K., Baabdullah, A.M., Koohang, A., Raghavan, V., Ahuja, M., Albanna, H., Albashrawi, M.A., Al-Busaidi, A.S., Balakrishnan, J., Barlette, Y., Basu, S., Bose, I., Brooks, L., Buhalis, D., Carter, L., Chowdhury, S., Crick, T., Cunningham, S.W., Davies, G.H., Davison, R.M., Dé, R., Dennehy, D., Duan, Y., Dubey, R., Dwivedi, R., Edwards, J.S., Flavián, C., Gauld, R., Grover, V., Hu, M.-C., Janssen, M., Jones, P., Junglas, I., Khorana, S., Kraus, S., Larsen, K.R., Latreille, P., Laumer, S., Malik, F.T., Mardani, A., Mariani, M., Mithas, S., Mogaji, E., Nord, J.H., O'Connor, S., Okumus, F., Pagani, M., Pandey, N., Papagiannidis, S., Pappas, I.O., Pathak, N., Pries-Heje, J., Raman, R., Rana, N.P., Rehm, S.-V., Ribeiro-Navarrete, S., Richter, A., Rowe, F., Sarker, S., Stahl, B.C., Tiwari, M.K., van der Aalst, W., Venkatesh, V., Viglia, G., Wade, M., Walton, P., Wirtz, J., Wright, R. (2023). “So what if ChatGPT wrote it?” Multidisciplinary perspectives on opportunities, challenges and implications of generative conversational AI for research, practice and policy. International Journal of Information Management, Vol. 71, Article 102642. </w:t>
            </w:r>
            <w:r w:rsidRPr="005A5CB5">
              <w:rPr>
                <w:rFonts w:ascii="Arial" w:eastAsia="Times New Roman" w:hAnsi="Arial" w:cs="Arial"/>
                <w:color w:val="000000"/>
                <w:sz w:val="20"/>
                <w:szCs w:val="20"/>
                <w:lang w:eastAsia="en-GB"/>
              </w:rPr>
              <w:br/>
              <w:t xml:space="preserve">https://doi.org/10.1016/j.ijinfomgt.2023.102642 </w:t>
            </w:r>
          </w:p>
        </w:tc>
        <w:tc>
          <w:tcPr>
            <w:tcW w:w="940" w:type="dxa"/>
            <w:tcBorders>
              <w:top w:val="nil"/>
              <w:left w:val="nil"/>
              <w:bottom w:val="single" w:sz="4" w:space="0" w:color="auto"/>
              <w:right w:val="single" w:sz="4" w:space="0" w:color="auto"/>
            </w:tcBorders>
            <w:noWrap/>
            <w:vAlign w:val="bottom"/>
            <w:hideMark/>
          </w:tcPr>
          <w:p w14:paraId="361EC1C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4223</w:t>
            </w:r>
          </w:p>
        </w:tc>
        <w:tc>
          <w:tcPr>
            <w:tcW w:w="1040" w:type="dxa"/>
            <w:tcBorders>
              <w:top w:val="nil"/>
              <w:left w:val="nil"/>
              <w:bottom w:val="single" w:sz="4" w:space="0" w:color="auto"/>
              <w:right w:val="single" w:sz="4" w:space="0" w:color="auto"/>
            </w:tcBorders>
            <w:noWrap/>
            <w:vAlign w:val="bottom"/>
            <w:hideMark/>
          </w:tcPr>
          <w:p w14:paraId="54FCA28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640" w:type="dxa"/>
            <w:tcBorders>
              <w:top w:val="nil"/>
              <w:left w:val="nil"/>
              <w:bottom w:val="single" w:sz="4" w:space="0" w:color="auto"/>
              <w:right w:val="single" w:sz="4" w:space="0" w:color="auto"/>
            </w:tcBorders>
            <w:noWrap/>
            <w:vAlign w:val="bottom"/>
            <w:hideMark/>
          </w:tcPr>
          <w:p w14:paraId="7AF4919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282.8</w:t>
            </w:r>
          </w:p>
        </w:tc>
      </w:tr>
      <w:tr w:rsidR="005A5CB5" w:rsidRPr="005A5CB5" w14:paraId="6476FA88"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38C060FD"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Eke, D. (2024). The ethics of ChatGPT – Exploring the ethical issues of an emerging technology. International Journal of Information Management, Vol. 74, Article 102700. </w:t>
            </w:r>
            <w:r w:rsidRPr="005A5CB5">
              <w:rPr>
                <w:rFonts w:ascii="Arial" w:eastAsia="Times New Roman" w:hAnsi="Arial" w:cs="Arial"/>
                <w:color w:val="000000"/>
                <w:sz w:val="20"/>
                <w:szCs w:val="20"/>
                <w:lang w:eastAsia="en-GB"/>
              </w:rPr>
              <w:br/>
              <w:t xml:space="preserve">https://doi.org/10.1016/j.ijinfomgt.2023.102700 </w:t>
            </w:r>
          </w:p>
        </w:tc>
        <w:tc>
          <w:tcPr>
            <w:tcW w:w="940" w:type="dxa"/>
            <w:tcBorders>
              <w:top w:val="nil"/>
              <w:left w:val="nil"/>
              <w:bottom w:val="single" w:sz="4" w:space="0" w:color="auto"/>
              <w:right w:val="single" w:sz="4" w:space="0" w:color="auto"/>
            </w:tcBorders>
            <w:shd w:val="clear" w:color="000000" w:fill="E7F1F9"/>
            <w:noWrap/>
            <w:vAlign w:val="bottom"/>
            <w:hideMark/>
          </w:tcPr>
          <w:p w14:paraId="4755AE2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468</w:t>
            </w:r>
          </w:p>
        </w:tc>
        <w:tc>
          <w:tcPr>
            <w:tcW w:w="1040" w:type="dxa"/>
            <w:tcBorders>
              <w:top w:val="nil"/>
              <w:left w:val="nil"/>
              <w:bottom w:val="single" w:sz="4" w:space="0" w:color="auto"/>
              <w:right w:val="single" w:sz="4" w:space="0" w:color="auto"/>
            </w:tcBorders>
            <w:shd w:val="clear" w:color="000000" w:fill="E7F1F9"/>
            <w:noWrap/>
            <w:vAlign w:val="bottom"/>
            <w:hideMark/>
          </w:tcPr>
          <w:p w14:paraId="3D075C7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640" w:type="dxa"/>
            <w:tcBorders>
              <w:top w:val="nil"/>
              <w:left w:val="nil"/>
              <w:bottom w:val="single" w:sz="4" w:space="0" w:color="auto"/>
              <w:right w:val="single" w:sz="4" w:space="0" w:color="auto"/>
            </w:tcBorders>
            <w:shd w:val="clear" w:color="000000" w:fill="E7F1F9"/>
            <w:noWrap/>
            <w:vAlign w:val="bottom"/>
            <w:hideMark/>
          </w:tcPr>
          <w:p w14:paraId="5E725D6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44.2</w:t>
            </w:r>
          </w:p>
        </w:tc>
      </w:tr>
      <w:tr w:rsidR="005A5CB5" w:rsidRPr="005A5CB5" w14:paraId="75418612"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43762EBD"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Antoniou, J., Bhalla, N., Brooks, L., Jansen, P., Lindqvist, B., Kirichenko, A., Marchal, S., Rodrigues, R., Santiago, N., Warso, Z., Wright, D. (2023). A systematic review of artificial intelligence impact assessments. Artificial Intelligence Review, Vol. 56, issue 11, 12799-12831. </w:t>
            </w:r>
            <w:r w:rsidRPr="005A5CB5">
              <w:rPr>
                <w:rFonts w:ascii="Arial" w:eastAsia="Times New Roman" w:hAnsi="Arial" w:cs="Arial"/>
                <w:color w:val="000000"/>
                <w:sz w:val="20"/>
                <w:szCs w:val="20"/>
                <w:lang w:eastAsia="en-GB"/>
              </w:rPr>
              <w:br/>
              <w:t xml:space="preserve">https://doi.org/10.1007/s10462-023-10420-8 </w:t>
            </w:r>
          </w:p>
        </w:tc>
        <w:tc>
          <w:tcPr>
            <w:tcW w:w="940" w:type="dxa"/>
            <w:tcBorders>
              <w:top w:val="nil"/>
              <w:left w:val="nil"/>
              <w:bottom w:val="single" w:sz="4" w:space="0" w:color="auto"/>
              <w:right w:val="single" w:sz="4" w:space="0" w:color="auto"/>
            </w:tcBorders>
            <w:noWrap/>
            <w:vAlign w:val="bottom"/>
            <w:hideMark/>
          </w:tcPr>
          <w:p w14:paraId="27EBE1C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157</w:t>
            </w:r>
          </w:p>
        </w:tc>
        <w:tc>
          <w:tcPr>
            <w:tcW w:w="1040" w:type="dxa"/>
            <w:tcBorders>
              <w:top w:val="nil"/>
              <w:left w:val="nil"/>
              <w:bottom w:val="single" w:sz="4" w:space="0" w:color="auto"/>
              <w:right w:val="single" w:sz="4" w:space="0" w:color="auto"/>
            </w:tcBorders>
            <w:noWrap/>
            <w:vAlign w:val="bottom"/>
            <w:hideMark/>
          </w:tcPr>
          <w:p w14:paraId="1F405B7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640" w:type="dxa"/>
            <w:tcBorders>
              <w:top w:val="nil"/>
              <w:left w:val="nil"/>
              <w:bottom w:val="single" w:sz="4" w:space="0" w:color="auto"/>
              <w:right w:val="single" w:sz="4" w:space="0" w:color="auto"/>
            </w:tcBorders>
            <w:noWrap/>
            <w:vAlign w:val="bottom"/>
            <w:hideMark/>
          </w:tcPr>
          <w:p w14:paraId="0301C07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24.82</w:t>
            </w:r>
          </w:p>
        </w:tc>
      </w:tr>
      <w:tr w:rsidR="005A5CB5" w:rsidRPr="005A5CB5" w14:paraId="3E29D516"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6DC14F82"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Xu, J., Liu, N., Polemiti, E., Garcia-Mondragon, L., Tang, J., Liu, X., Lett, T., Yu, L., Nöthen, M.M., Feng, J., Yu, C., Marquand, A., Schumann, G., Walter, H., Heinz, A., Ralser, M., Twardziok, S., Vaidya, N., Serin, E., Jentsch, M., Hitchen, E., Eils, R., Taron, U.-H., Schütz, T., Schepanski, K., Banks, J., Banaschewski, T., Jansone, K., Christmann, N., Meyer-Lindenberg, A., Tost, H., Holz, N., Schwarz, E., Stringaris, A., Neidhart, M., Nees, F., Siehl, S., A. Andreassen, O., T. Westlye, L., van der Meer, D., Fernandez, S., Kjelkenes, R., Ask, H., Rapp, M., Tschorn, M., Böttger, S.J., Novarino, G., Marr, L., Slater, M., Viapiana, G.F., Orosa, F.E., Gallego, J., Pastor, A., Forstner, A., Hoffmann, P., M. Nöthen, M., Claus, I., Miller, A., </w:t>
            </w:r>
            <w:r w:rsidRPr="005A5CB5">
              <w:rPr>
                <w:rFonts w:ascii="Arial" w:eastAsia="Times New Roman" w:hAnsi="Arial" w:cs="Arial"/>
                <w:color w:val="000000"/>
                <w:sz w:val="20"/>
                <w:szCs w:val="20"/>
                <w:lang w:eastAsia="en-GB"/>
              </w:rPr>
              <w:lastRenderedPageBreak/>
              <w:t xml:space="preserve">Heilmann-Heimbach, S., Sommer, P., Boye, M., Wilbertz, J., Schmitt, K., Jirsa, V., Petkoski, S., Pitel, S., Otten, L., Athanasiadis, A.-P., Pearmund, C., Spanlang, B., Alvarez, E., Sanchez, M., Giner, A., Hese, S., Renner, P., Jia, T., Gong, Y., Xia, Y., Chang, X., Calhoun, V., Liu, J., Thompson, P., Clinton, N., Desrivieres, S., H. Young, A., Stahl, B., Ogoh, G. (2023). Effects of urban living environments on mental health in adults. Nature Medicine, Vol. 29, issue 6, 1456-1467. </w:t>
            </w:r>
            <w:r w:rsidRPr="005A5CB5">
              <w:rPr>
                <w:rFonts w:ascii="Arial" w:eastAsia="Times New Roman" w:hAnsi="Arial" w:cs="Arial"/>
                <w:color w:val="000000"/>
                <w:sz w:val="20"/>
                <w:szCs w:val="20"/>
                <w:lang w:eastAsia="en-GB"/>
              </w:rPr>
              <w:br/>
              <w:t xml:space="preserve">https://doi.org/10.1038/s41591-023-02365-w </w:t>
            </w:r>
          </w:p>
        </w:tc>
        <w:tc>
          <w:tcPr>
            <w:tcW w:w="940" w:type="dxa"/>
            <w:tcBorders>
              <w:top w:val="nil"/>
              <w:left w:val="nil"/>
              <w:bottom w:val="single" w:sz="4" w:space="0" w:color="auto"/>
              <w:right w:val="single" w:sz="4" w:space="0" w:color="auto"/>
            </w:tcBorders>
            <w:shd w:val="clear" w:color="000000" w:fill="E7F1F9"/>
            <w:noWrap/>
            <w:vAlign w:val="bottom"/>
            <w:hideMark/>
          </w:tcPr>
          <w:p w14:paraId="2C141F7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lastRenderedPageBreak/>
              <w:t>194</w:t>
            </w:r>
          </w:p>
        </w:tc>
        <w:tc>
          <w:tcPr>
            <w:tcW w:w="1040" w:type="dxa"/>
            <w:tcBorders>
              <w:top w:val="nil"/>
              <w:left w:val="nil"/>
              <w:bottom w:val="single" w:sz="4" w:space="0" w:color="auto"/>
              <w:right w:val="single" w:sz="4" w:space="0" w:color="auto"/>
            </w:tcBorders>
            <w:shd w:val="clear" w:color="000000" w:fill="E7F1F9"/>
            <w:noWrap/>
            <w:vAlign w:val="bottom"/>
            <w:hideMark/>
          </w:tcPr>
          <w:p w14:paraId="1B071D9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640" w:type="dxa"/>
            <w:tcBorders>
              <w:top w:val="nil"/>
              <w:left w:val="nil"/>
              <w:bottom w:val="single" w:sz="4" w:space="0" w:color="auto"/>
              <w:right w:val="single" w:sz="4" w:space="0" w:color="auto"/>
            </w:tcBorders>
            <w:shd w:val="clear" w:color="000000" w:fill="E7F1F9"/>
            <w:noWrap/>
            <w:vAlign w:val="bottom"/>
            <w:hideMark/>
          </w:tcPr>
          <w:p w14:paraId="7B065CF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18.56</w:t>
            </w:r>
          </w:p>
        </w:tc>
      </w:tr>
      <w:tr w:rsidR="005A5CB5" w:rsidRPr="005A5CB5" w14:paraId="6D46A433"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65E086FB"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t xml:space="preserve">Omeiza, D., Webb, H., Jirotka, M., Kunze, L. (2022). </w:t>
            </w:r>
            <w:r w:rsidRPr="005A5CB5">
              <w:rPr>
                <w:rFonts w:ascii="Arial" w:eastAsia="Times New Roman" w:hAnsi="Arial" w:cs="Arial"/>
                <w:color w:val="000000"/>
                <w:sz w:val="20"/>
                <w:szCs w:val="20"/>
                <w:lang w:eastAsia="en-GB"/>
              </w:rPr>
              <w:t xml:space="preserve">Explanations in Autonomous Driving: A Survey. IEEE Transactions on Intelligent Transportation Systems, Vol. 23, issue 8, 10142-10162. </w:t>
            </w:r>
            <w:r w:rsidRPr="005A5CB5">
              <w:rPr>
                <w:rFonts w:ascii="Arial" w:eastAsia="Times New Roman" w:hAnsi="Arial" w:cs="Arial"/>
                <w:color w:val="000000"/>
                <w:sz w:val="20"/>
                <w:szCs w:val="20"/>
                <w:lang w:eastAsia="en-GB"/>
              </w:rPr>
              <w:br/>
              <w:t xml:space="preserve">https://doi.org/10.1109/TITS.2021.3122865 </w:t>
            </w:r>
          </w:p>
        </w:tc>
        <w:tc>
          <w:tcPr>
            <w:tcW w:w="940" w:type="dxa"/>
            <w:tcBorders>
              <w:top w:val="nil"/>
              <w:left w:val="nil"/>
              <w:bottom w:val="single" w:sz="4" w:space="0" w:color="auto"/>
              <w:right w:val="single" w:sz="4" w:space="0" w:color="auto"/>
            </w:tcBorders>
            <w:noWrap/>
            <w:vAlign w:val="bottom"/>
            <w:hideMark/>
          </w:tcPr>
          <w:p w14:paraId="71A72AC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321</w:t>
            </w:r>
          </w:p>
        </w:tc>
        <w:tc>
          <w:tcPr>
            <w:tcW w:w="1040" w:type="dxa"/>
            <w:tcBorders>
              <w:top w:val="nil"/>
              <w:left w:val="nil"/>
              <w:bottom w:val="single" w:sz="4" w:space="0" w:color="auto"/>
              <w:right w:val="single" w:sz="4" w:space="0" w:color="auto"/>
            </w:tcBorders>
            <w:noWrap/>
            <w:vAlign w:val="bottom"/>
            <w:hideMark/>
          </w:tcPr>
          <w:p w14:paraId="35217EE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640" w:type="dxa"/>
            <w:tcBorders>
              <w:top w:val="nil"/>
              <w:left w:val="nil"/>
              <w:bottom w:val="single" w:sz="4" w:space="0" w:color="auto"/>
              <w:right w:val="single" w:sz="4" w:space="0" w:color="auto"/>
            </w:tcBorders>
            <w:noWrap/>
            <w:vAlign w:val="bottom"/>
            <w:hideMark/>
          </w:tcPr>
          <w:p w14:paraId="610DE63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16.13</w:t>
            </w:r>
          </w:p>
        </w:tc>
      </w:tr>
      <w:tr w:rsidR="005A5CB5" w:rsidRPr="005A5CB5" w14:paraId="5ACE4BFD"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A1623E6"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Marsh, E., Perez Vallejos, E., Spence, A. (2024). Overloaded by Information or Worried About Missing Out on It: A Quantitative Study of Stress, Burnout, and Mental Health Implications in the Digital Workplace. SAGE Open, Vol. 14, issue 3. </w:t>
            </w:r>
            <w:r w:rsidRPr="005A5CB5">
              <w:rPr>
                <w:rFonts w:ascii="Arial" w:eastAsia="Times New Roman" w:hAnsi="Arial" w:cs="Arial"/>
                <w:color w:val="000000"/>
                <w:sz w:val="20"/>
                <w:szCs w:val="20"/>
                <w:lang w:eastAsia="en-GB"/>
              </w:rPr>
              <w:br/>
              <w:t xml:space="preserve">https://doi.org/10.1177/21582440241268830 </w:t>
            </w:r>
          </w:p>
        </w:tc>
        <w:tc>
          <w:tcPr>
            <w:tcW w:w="940" w:type="dxa"/>
            <w:tcBorders>
              <w:top w:val="nil"/>
              <w:left w:val="nil"/>
              <w:bottom w:val="single" w:sz="4" w:space="0" w:color="auto"/>
              <w:right w:val="single" w:sz="4" w:space="0" w:color="auto"/>
            </w:tcBorders>
            <w:shd w:val="clear" w:color="000000" w:fill="E7F1F9"/>
            <w:noWrap/>
            <w:vAlign w:val="bottom"/>
            <w:hideMark/>
          </w:tcPr>
          <w:p w14:paraId="4E6C13A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55</w:t>
            </w:r>
          </w:p>
        </w:tc>
        <w:tc>
          <w:tcPr>
            <w:tcW w:w="1040" w:type="dxa"/>
            <w:tcBorders>
              <w:top w:val="nil"/>
              <w:left w:val="nil"/>
              <w:bottom w:val="single" w:sz="4" w:space="0" w:color="auto"/>
              <w:right w:val="single" w:sz="4" w:space="0" w:color="auto"/>
            </w:tcBorders>
            <w:shd w:val="clear" w:color="000000" w:fill="E7F1F9"/>
            <w:noWrap/>
            <w:vAlign w:val="bottom"/>
            <w:hideMark/>
          </w:tcPr>
          <w:p w14:paraId="233A08F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640" w:type="dxa"/>
            <w:tcBorders>
              <w:top w:val="nil"/>
              <w:left w:val="nil"/>
              <w:bottom w:val="single" w:sz="4" w:space="0" w:color="auto"/>
              <w:right w:val="single" w:sz="4" w:space="0" w:color="auto"/>
            </w:tcBorders>
            <w:shd w:val="clear" w:color="000000" w:fill="E7F1F9"/>
            <w:noWrap/>
            <w:vAlign w:val="bottom"/>
            <w:hideMark/>
          </w:tcPr>
          <w:p w14:paraId="0476C0C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15.02</w:t>
            </w:r>
          </w:p>
        </w:tc>
      </w:tr>
      <w:tr w:rsidR="005A5CB5" w:rsidRPr="005A5CB5" w14:paraId="539CE99E"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3745FD81"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Almutairi, M., Furnell, S., Webb, H. (2026). Supporting Cyber Security Knowledge and Skills in Non-computing Disciplines. IFIP Advances in Information and Communication Technology, Vol. 761, 119-134. </w:t>
            </w:r>
            <w:r w:rsidRPr="005A5CB5">
              <w:rPr>
                <w:rFonts w:ascii="Arial" w:eastAsia="Times New Roman" w:hAnsi="Arial" w:cs="Arial"/>
                <w:color w:val="000000"/>
                <w:sz w:val="20"/>
                <w:szCs w:val="20"/>
                <w:lang w:eastAsia="en-GB"/>
              </w:rPr>
              <w:br/>
              <w:t xml:space="preserve">https://doi.org/10.1007/978-3-032-02504-3_9 </w:t>
            </w:r>
          </w:p>
        </w:tc>
        <w:tc>
          <w:tcPr>
            <w:tcW w:w="940" w:type="dxa"/>
            <w:tcBorders>
              <w:top w:val="nil"/>
              <w:left w:val="nil"/>
              <w:bottom w:val="single" w:sz="4" w:space="0" w:color="auto"/>
              <w:right w:val="single" w:sz="4" w:space="0" w:color="auto"/>
            </w:tcBorders>
            <w:noWrap/>
            <w:vAlign w:val="bottom"/>
            <w:hideMark/>
          </w:tcPr>
          <w:p w14:paraId="131B1A7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noWrap/>
            <w:vAlign w:val="bottom"/>
            <w:hideMark/>
          </w:tcPr>
          <w:p w14:paraId="11D3814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w:t>
            </w:r>
          </w:p>
        </w:tc>
        <w:tc>
          <w:tcPr>
            <w:tcW w:w="640" w:type="dxa"/>
            <w:tcBorders>
              <w:top w:val="nil"/>
              <w:left w:val="nil"/>
              <w:bottom w:val="single" w:sz="4" w:space="0" w:color="auto"/>
              <w:right w:val="single" w:sz="4" w:space="0" w:color="auto"/>
            </w:tcBorders>
            <w:noWrap/>
            <w:vAlign w:val="bottom"/>
            <w:hideMark/>
          </w:tcPr>
          <w:p w14:paraId="7A135B2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11.44</w:t>
            </w:r>
          </w:p>
        </w:tc>
      </w:tr>
      <w:tr w:rsidR="005A5CB5" w:rsidRPr="005A5CB5" w14:paraId="63B69A84"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5BB3561"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Wakunuma, K., Ogoh, G., Akintoye, S., Eke, D.O. (2025). Decoloniality as an Essential Trustworthy AI Requirement. Trustworthy AI: African Perspectives, 255-276. </w:t>
            </w:r>
            <w:r w:rsidRPr="005A5CB5">
              <w:rPr>
                <w:rFonts w:ascii="Arial" w:eastAsia="Times New Roman" w:hAnsi="Arial" w:cs="Arial"/>
                <w:color w:val="000000"/>
                <w:sz w:val="20"/>
                <w:szCs w:val="20"/>
                <w:lang w:eastAsia="en-GB"/>
              </w:rPr>
              <w:br/>
              <w:t xml:space="preserve">https://doi.org/10.1007/978-3-031-75674-0_12 </w:t>
            </w:r>
          </w:p>
        </w:tc>
        <w:tc>
          <w:tcPr>
            <w:tcW w:w="940" w:type="dxa"/>
            <w:tcBorders>
              <w:top w:val="nil"/>
              <w:left w:val="nil"/>
              <w:bottom w:val="single" w:sz="4" w:space="0" w:color="auto"/>
              <w:right w:val="single" w:sz="4" w:space="0" w:color="auto"/>
            </w:tcBorders>
            <w:shd w:val="clear" w:color="000000" w:fill="E7F1F9"/>
            <w:noWrap/>
            <w:vAlign w:val="bottom"/>
            <w:hideMark/>
          </w:tcPr>
          <w:p w14:paraId="39FBA20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1040" w:type="dxa"/>
            <w:tcBorders>
              <w:top w:val="nil"/>
              <w:left w:val="nil"/>
              <w:bottom w:val="single" w:sz="4" w:space="0" w:color="auto"/>
              <w:right w:val="single" w:sz="4" w:space="0" w:color="auto"/>
            </w:tcBorders>
            <w:shd w:val="clear" w:color="000000" w:fill="E7F1F9"/>
            <w:noWrap/>
            <w:vAlign w:val="bottom"/>
            <w:hideMark/>
          </w:tcPr>
          <w:p w14:paraId="0584C86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640" w:type="dxa"/>
            <w:tcBorders>
              <w:top w:val="nil"/>
              <w:left w:val="nil"/>
              <w:bottom w:val="single" w:sz="4" w:space="0" w:color="auto"/>
              <w:right w:val="single" w:sz="4" w:space="0" w:color="auto"/>
            </w:tcBorders>
            <w:shd w:val="clear" w:color="000000" w:fill="E7F1F9"/>
            <w:noWrap/>
            <w:vAlign w:val="bottom"/>
            <w:hideMark/>
          </w:tcPr>
          <w:p w14:paraId="5209F98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11.41</w:t>
            </w:r>
          </w:p>
        </w:tc>
      </w:tr>
      <w:tr w:rsidR="005A5CB5" w:rsidRPr="005A5CB5" w14:paraId="0B2C0281"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6F52980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Wakunuma, K., Eke, D. (2024). Africa, ChatGPT, and Generative AI Systems: Ethical Benefits, Concerns, and the Need for Governance. Philosophies, Vol. 9, issue 3, Article 80. </w:t>
            </w:r>
            <w:r w:rsidRPr="005A5CB5">
              <w:rPr>
                <w:rFonts w:ascii="Arial" w:eastAsia="Times New Roman" w:hAnsi="Arial" w:cs="Arial"/>
                <w:color w:val="000000"/>
                <w:sz w:val="20"/>
                <w:szCs w:val="20"/>
                <w:lang w:eastAsia="en-GB"/>
              </w:rPr>
              <w:br/>
              <w:t xml:space="preserve">https://doi.org/10.3390/philosophies9030080 </w:t>
            </w:r>
          </w:p>
        </w:tc>
        <w:tc>
          <w:tcPr>
            <w:tcW w:w="940" w:type="dxa"/>
            <w:tcBorders>
              <w:top w:val="nil"/>
              <w:left w:val="nil"/>
              <w:bottom w:val="single" w:sz="4" w:space="0" w:color="auto"/>
              <w:right w:val="single" w:sz="4" w:space="0" w:color="auto"/>
            </w:tcBorders>
            <w:noWrap/>
            <w:vAlign w:val="bottom"/>
            <w:hideMark/>
          </w:tcPr>
          <w:p w14:paraId="4EA07D0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24</w:t>
            </w:r>
          </w:p>
        </w:tc>
        <w:tc>
          <w:tcPr>
            <w:tcW w:w="1040" w:type="dxa"/>
            <w:tcBorders>
              <w:top w:val="nil"/>
              <w:left w:val="nil"/>
              <w:bottom w:val="single" w:sz="4" w:space="0" w:color="auto"/>
              <w:right w:val="single" w:sz="4" w:space="0" w:color="auto"/>
            </w:tcBorders>
            <w:noWrap/>
            <w:vAlign w:val="bottom"/>
            <w:hideMark/>
          </w:tcPr>
          <w:p w14:paraId="7DEA0A1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640" w:type="dxa"/>
            <w:tcBorders>
              <w:top w:val="nil"/>
              <w:left w:val="nil"/>
              <w:bottom w:val="single" w:sz="4" w:space="0" w:color="auto"/>
              <w:right w:val="single" w:sz="4" w:space="0" w:color="auto"/>
            </w:tcBorders>
            <w:noWrap/>
            <w:vAlign w:val="bottom"/>
            <w:hideMark/>
          </w:tcPr>
          <w:p w14:paraId="169271F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11.41</w:t>
            </w:r>
          </w:p>
        </w:tc>
      </w:tr>
      <w:tr w:rsidR="005A5CB5" w:rsidRPr="005A5CB5" w14:paraId="4DF6C0A1"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3268D18D"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Marsh, E., Vallejos, E.P., Spence, A. (2022). The digital workplace and its dark side: An integrative review. Computers in Human Behavior, Vol. 128, Article 107118. </w:t>
            </w:r>
            <w:r w:rsidRPr="005A5CB5">
              <w:rPr>
                <w:rFonts w:ascii="Arial" w:eastAsia="Times New Roman" w:hAnsi="Arial" w:cs="Arial"/>
                <w:color w:val="000000"/>
                <w:sz w:val="20"/>
                <w:szCs w:val="20"/>
                <w:lang w:eastAsia="en-GB"/>
              </w:rPr>
              <w:br/>
              <w:t xml:space="preserve">https://doi.org/10.1016/j.chb.2021.107118 </w:t>
            </w:r>
          </w:p>
        </w:tc>
        <w:tc>
          <w:tcPr>
            <w:tcW w:w="940" w:type="dxa"/>
            <w:tcBorders>
              <w:top w:val="nil"/>
              <w:left w:val="nil"/>
              <w:bottom w:val="single" w:sz="4" w:space="0" w:color="auto"/>
              <w:right w:val="single" w:sz="4" w:space="0" w:color="auto"/>
            </w:tcBorders>
            <w:shd w:val="clear" w:color="000000" w:fill="E7F1F9"/>
            <w:noWrap/>
            <w:vAlign w:val="bottom"/>
            <w:hideMark/>
          </w:tcPr>
          <w:p w14:paraId="7A3BDB0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308</w:t>
            </w:r>
          </w:p>
        </w:tc>
        <w:tc>
          <w:tcPr>
            <w:tcW w:w="1040" w:type="dxa"/>
            <w:tcBorders>
              <w:top w:val="nil"/>
              <w:left w:val="nil"/>
              <w:bottom w:val="single" w:sz="4" w:space="0" w:color="auto"/>
              <w:right w:val="single" w:sz="4" w:space="0" w:color="auto"/>
            </w:tcBorders>
            <w:shd w:val="clear" w:color="000000" w:fill="E7F1F9"/>
            <w:noWrap/>
            <w:vAlign w:val="bottom"/>
            <w:hideMark/>
          </w:tcPr>
          <w:p w14:paraId="654E55F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640" w:type="dxa"/>
            <w:tcBorders>
              <w:top w:val="nil"/>
              <w:left w:val="nil"/>
              <w:bottom w:val="single" w:sz="4" w:space="0" w:color="auto"/>
              <w:right w:val="single" w:sz="4" w:space="0" w:color="auto"/>
            </w:tcBorders>
            <w:shd w:val="clear" w:color="000000" w:fill="E7F1F9"/>
            <w:noWrap/>
            <w:vAlign w:val="bottom"/>
            <w:hideMark/>
          </w:tcPr>
          <w:p w14:paraId="0945987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10.79</w:t>
            </w:r>
          </w:p>
        </w:tc>
      </w:tr>
      <w:tr w:rsidR="005A5CB5" w:rsidRPr="005A5CB5" w14:paraId="67F105D0"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0E48D18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Eke, D.O., Wakunuma, K., Akintoye, S., Ogoh, G. (2025). African Perspectives of Trustworthy AI: An Introduction. Trustworthy AI: African Perspectives, 1-17. </w:t>
            </w:r>
            <w:r w:rsidRPr="005A5CB5">
              <w:rPr>
                <w:rFonts w:ascii="Arial" w:eastAsia="Times New Roman" w:hAnsi="Arial" w:cs="Arial"/>
                <w:color w:val="000000"/>
                <w:sz w:val="20"/>
                <w:szCs w:val="20"/>
                <w:lang w:eastAsia="en-GB"/>
              </w:rPr>
              <w:br/>
              <w:t xml:space="preserve">https://doi.org/10.1007/978-3-031-75674-0_1 </w:t>
            </w:r>
          </w:p>
        </w:tc>
        <w:tc>
          <w:tcPr>
            <w:tcW w:w="940" w:type="dxa"/>
            <w:tcBorders>
              <w:top w:val="nil"/>
              <w:left w:val="nil"/>
              <w:bottom w:val="single" w:sz="4" w:space="0" w:color="auto"/>
              <w:right w:val="single" w:sz="4" w:space="0" w:color="auto"/>
            </w:tcBorders>
            <w:noWrap/>
            <w:vAlign w:val="bottom"/>
            <w:hideMark/>
          </w:tcPr>
          <w:p w14:paraId="1A9C121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1040" w:type="dxa"/>
            <w:tcBorders>
              <w:top w:val="nil"/>
              <w:left w:val="nil"/>
              <w:bottom w:val="single" w:sz="4" w:space="0" w:color="auto"/>
              <w:right w:val="single" w:sz="4" w:space="0" w:color="auto"/>
            </w:tcBorders>
            <w:noWrap/>
            <w:vAlign w:val="bottom"/>
            <w:hideMark/>
          </w:tcPr>
          <w:p w14:paraId="706F16E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w:t>
            </w:r>
          </w:p>
        </w:tc>
        <w:tc>
          <w:tcPr>
            <w:tcW w:w="640" w:type="dxa"/>
            <w:tcBorders>
              <w:top w:val="nil"/>
              <w:left w:val="nil"/>
              <w:bottom w:val="single" w:sz="4" w:space="0" w:color="auto"/>
              <w:right w:val="single" w:sz="4" w:space="0" w:color="auto"/>
            </w:tcBorders>
            <w:noWrap/>
            <w:vAlign w:val="bottom"/>
            <w:hideMark/>
          </w:tcPr>
          <w:p w14:paraId="70CF9E1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9.13</w:t>
            </w:r>
          </w:p>
        </w:tc>
      </w:tr>
      <w:tr w:rsidR="005A5CB5" w:rsidRPr="005A5CB5" w14:paraId="4E762840"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2478E996"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Winfield, A.F.T., Winkle, K., Webb, H., Lyngs, U., Jirotka, M., Macrae, C. (2021). Robot accident investigation: A case study in responsible robotics. Software Engineering for Robotics, 165-187. </w:t>
            </w:r>
            <w:r w:rsidRPr="005A5CB5">
              <w:rPr>
                <w:rFonts w:ascii="Arial" w:eastAsia="Times New Roman" w:hAnsi="Arial" w:cs="Arial"/>
                <w:color w:val="000000"/>
                <w:sz w:val="20"/>
                <w:szCs w:val="20"/>
                <w:lang w:eastAsia="en-GB"/>
              </w:rPr>
              <w:br/>
              <w:t xml:space="preserve">https://doi.org/10.1007/978-3-030-66494-7_6 </w:t>
            </w:r>
          </w:p>
        </w:tc>
        <w:tc>
          <w:tcPr>
            <w:tcW w:w="940" w:type="dxa"/>
            <w:tcBorders>
              <w:top w:val="nil"/>
              <w:left w:val="nil"/>
              <w:bottom w:val="single" w:sz="4" w:space="0" w:color="auto"/>
              <w:right w:val="single" w:sz="4" w:space="0" w:color="auto"/>
            </w:tcBorders>
            <w:shd w:val="clear" w:color="000000" w:fill="E7F1F9"/>
            <w:noWrap/>
            <w:vAlign w:val="bottom"/>
            <w:hideMark/>
          </w:tcPr>
          <w:p w14:paraId="4DA5DDF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30</w:t>
            </w:r>
          </w:p>
        </w:tc>
        <w:tc>
          <w:tcPr>
            <w:tcW w:w="1040" w:type="dxa"/>
            <w:tcBorders>
              <w:top w:val="nil"/>
              <w:left w:val="nil"/>
              <w:bottom w:val="single" w:sz="4" w:space="0" w:color="auto"/>
              <w:right w:val="single" w:sz="4" w:space="0" w:color="auto"/>
            </w:tcBorders>
            <w:shd w:val="clear" w:color="000000" w:fill="E7F1F9"/>
            <w:noWrap/>
            <w:vAlign w:val="bottom"/>
            <w:hideMark/>
          </w:tcPr>
          <w:p w14:paraId="6F41D2C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640" w:type="dxa"/>
            <w:tcBorders>
              <w:top w:val="nil"/>
              <w:left w:val="nil"/>
              <w:bottom w:val="single" w:sz="4" w:space="0" w:color="auto"/>
              <w:right w:val="single" w:sz="4" w:space="0" w:color="auto"/>
            </w:tcBorders>
            <w:shd w:val="clear" w:color="000000" w:fill="E7F1F9"/>
            <w:noWrap/>
            <w:vAlign w:val="bottom"/>
            <w:hideMark/>
          </w:tcPr>
          <w:p w14:paraId="4B3F178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8.99</w:t>
            </w:r>
          </w:p>
        </w:tc>
      </w:tr>
      <w:tr w:rsidR="005A5CB5" w:rsidRPr="005A5CB5" w14:paraId="0AE5A6AD"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5F2FE69"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t xml:space="preserve">Eke, D., Wakunuma, K., Akintoye, S., Ogoh, G. (2025). </w:t>
            </w:r>
            <w:r w:rsidRPr="005A5CB5">
              <w:rPr>
                <w:rFonts w:ascii="Arial" w:eastAsia="Times New Roman" w:hAnsi="Arial" w:cs="Arial"/>
                <w:color w:val="000000"/>
                <w:sz w:val="20"/>
                <w:szCs w:val="20"/>
                <w:lang w:eastAsia="en-GB"/>
              </w:rPr>
              <w:t xml:space="preserve">Trustworthy AI: African Perspectives. Trustworthy AI: African Perspectives, 1-281. </w:t>
            </w:r>
            <w:r w:rsidRPr="005A5CB5">
              <w:rPr>
                <w:rFonts w:ascii="Arial" w:eastAsia="Times New Roman" w:hAnsi="Arial" w:cs="Arial"/>
                <w:color w:val="000000"/>
                <w:sz w:val="20"/>
                <w:szCs w:val="20"/>
                <w:lang w:eastAsia="en-GB"/>
              </w:rPr>
              <w:br/>
              <w:t xml:space="preserve">https://doi.org/10.1007/978-3-031-75674-0 </w:t>
            </w:r>
          </w:p>
        </w:tc>
        <w:tc>
          <w:tcPr>
            <w:tcW w:w="940" w:type="dxa"/>
            <w:tcBorders>
              <w:top w:val="nil"/>
              <w:left w:val="nil"/>
              <w:bottom w:val="single" w:sz="4" w:space="0" w:color="auto"/>
              <w:right w:val="single" w:sz="4" w:space="0" w:color="auto"/>
            </w:tcBorders>
            <w:noWrap/>
            <w:vAlign w:val="bottom"/>
            <w:hideMark/>
          </w:tcPr>
          <w:p w14:paraId="7616CFD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8</w:t>
            </w:r>
          </w:p>
        </w:tc>
        <w:tc>
          <w:tcPr>
            <w:tcW w:w="1040" w:type="dxa"/>
            <w:tcBorders>
              <w:top w:val="nil"/>
              <w:left w:val="nil"/>
              <w:bottom w:val="single" w:sz="4" w:space="0" w:color="auto"/>
              <w:right w:val="single" w:sz="4" w:space="0" w:color="auto"/>
            </w:tcBorders>
            <w:noWrap/>
            <w:vAlign w:val="bottom"/>
            <w:hideMark/>
          </w:tcPr>
          <w:p w14:paraId="6430792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w:t>
            </w:r>
          </w:p>
        </w:tc>
        <w:tc>
          <w:tcPr>
            <w:tcW w:w="640" w:type="dxa"/>
            <w:tcBorders>
              <w:top w:val="nil"/>
              <w:left w:val="nil"/>
              <w:bottom w:val="single" w:sz="4" w:space="0" w:color="auto"/>
              <w:right w:val="single" w:sz="4" w:space="0" w:color="auto"/>
            </w:tcBorders>
            <w:noWrap/>
            <w:vAlign w:val="bottom"/>
            <w:hideMark/>
          </w:tcPr>
          <w:p w14:paraId="32A54F7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7.54</w:t>
            </w:r>
          </w:p>
        </w:tc>
      </w:tr>
      <w:tr w:rsidR="005A5CB5" w:rsidRPr="005A5CB5" w14:paraId="0FDA52D0"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273801A8"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Nkwo, M.S., Adamu, M. (2025). Trust Me, I Am an Intelligent and Autonomous System: Trustworthy AI in Africa as Distributed Concern. Trustworthy AI: African Perspectives, 69-92. </w:t>
            </w:r>
            <w:r w:rsidRPr="005A5CB5">
              <w:rPr>
                <w:rFonts w:ascii="Arial" w:eastAsia="Times New Roman" w:hAnsi="Arial" w:cs="Arial"/>
                <w:color w:val="000000"/>
                <w:sz w:val="20"/>
                <w:szCs w:val="20"/>
                <w:lang w:eastAsia="en-GB"/>
              </w:rPr>
              <w:br/>
              <w:t xml:space="preserve">https://doi.org/10.1007/978-3-031-75674-0_4 </w:t>
            </w:r>
          </w:p>
        </w:tc>
        <w:tc>
          <w:tcPr>
            <w:tcW w:w="940" w:type="dxa"/>
            <w:tcBorders>
              <w:top w:val="nil"/>
              <w:left w:val="nil"/>
              <w:bottom w:val="single" w:sz="4" w:space="0" w:color="auto"/>
              <w:right w:val="single" w:sz="4" w:space="0" w:color="auto"/>
            </w:tcBorders>
            <w:shd w:val="clear" w:color="000000" w:fill="E7F1F9"/>
            <w:noWrap/>
            <w:vAlign w:val="bottom"/>
            <w:hideMark/>
          </w:tcPr>
          <w:p w14:paraId="2AA4567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w:t>
            </w:r>
          </w:p>
        </w:tc>
        <w:tc>
          <w:tcPr>
            <w:tcW w:w="1040" w:type="dxa"/>
            <w:tcBorders>
              <w:top w:val="nil"/>
              <w:left w:val="nil"/>
              <w:bottom w:val="single" w:sz="4" w:space="0" w:color="auto"/>
              <w:right w:val="single" w:sz="4" w:space="0" w:color="auto"/>
            </w:tcBorders>
            <w:shd w:val="clear" w:color="000000" w:fill="E7F1F9"/>
            <w:noWrap/>
            <w:vAlign w:val="bottom"/>
            <w:hideMark/>
          </w:tcPr>
          <w:p w14:paraId="7D95AAD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w:t>
            </w:r>
          </w:p>
        </w:tc>
        <w:tc>
          <w:tcPr>
            <w:tcW w:w="640" w:type="dxa"/>
            <w:tcBorders>
              <w:top w:val="nil"/>
              <w:left w:val="nil"/>
              <w:bottom w:val="single" w:sz="4" w:space="0" w:color="auto"/>
              <w:right w:val="single" w:sz="4" w:space="0" w:color="auto"/>
            </w:tcBorders>
            <w:shd w:val="clear" w:color="000000" w:fill="E7F1F9"/>
            <w:noWrap/>
            <w:vAlign w:val="bottom"/>
            <w:hideMark/>
          </w:tcPr>
          <w:p w14:paraId="71C78F8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6.85</w:t>
            </w:r>
          </w:p>
        </w:tc>
      </w:tr>
      <w:tr w:rsidR="005A5CB5" w:rsidRPr="005A5CB5" w14:paraId="3BB16B0B"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45A7B986"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Brooks, L., Hatzakis, T., Santiago, N., Wright, D. (2023). Exploring ethics and human rights in artificial intelligence – A Delphi study. Technological Forecasting and Social Change, Vol. 191, Article 122502. </w:t>
            </w:r>
            <w:r w:rsidRPr="005A5CB5">
              <w:rPr>
                <w:rFonts w:ascii="Arial" w:eastAsia="Times New Roman" w:hAnsi="Arial" w:cs="Arial"/>
                <w:color w:val="000000"/>
                <w:sz w:val="20"/>
                <w:szCs w:val="20"/>
                <w:lang w:eastAsia="en-GB"/>
              </w:rPr>
              <w:br/>
              <w:t xml:space="preserve">https://doi.org/10.1016/j.techfore.2023.122502 </w:t>
            </w:r>
          </w:p>
        </w:tc>
        <w:tc>
          <w:tcPr>
            <w:tcW w:w="940" w:type="dxa"/>
            <w:tcBorders>
              <w:top w:val="nil"/>
              <w:left w:val="nil"/>
              <w:bottom w:val="single" w:sz="4" w:space="0" w:color="auto"/>
              <w:right w:val="single" w:sz="4" w:space="0" w:color="auto"/>
            </w:tcBorders>
            <w:noWrap/>
            <w:vAlign w:val="bottom"/>
            <w:hideMark/>
          </w:tcPr>
          <w:p w14:paraId="4E8519D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88</w:t>
            </w:r>
          </w:p>
        </w:tc>
        <w:tc>
          <w:tcPr>
            <w:tcW w:w="1040" w:type="dxa"/>
            <w:tcBorders>
              <w:top w:val="nil"/>
              <w:left w:val="nil"/>
              <w:bottom w:val="single" w:sz="4" w:space="0" w:color="auto"/>
              <w:right w:val="single" w:sz="4" w:space="0" w:color="auto"/>
            </w:tcBorders>
            <w:noWrap/>
            <w:vAlign w:val="bottom"/>
            <w:hideMark/>
          </w:tcPr>
          <w:p w14:paraId="633DA7A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w:t>
            </w:r>
          </w:p>
        </w:tc>
        <w:tc>
          <w:tcPr>
            <w:tcW w:w="640" w:type="dxa"/>
            <w:tcBorders>
              <w:top w:val="nil"/>
              <w:left w:val="nil"/>
              <w:bottom w:val="single" w:sz="4" w:space="0" w:color="auto"/>
              <w:right w:val="single" w:sz="4" w:space="0" w:color="auto"/>
            </w:tcBorders>
            <w:noWrap/>
            <w:vAlign w:val="bottom"/>
            <w:hideMark/>
          </w:tcPr>
          <w:p w14:paraId="4F56456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6.07</w:t>
            </w:r>
          </w:p>
        </w:tc>
      </w:tr>
      <w:tr w:rsidR="005A5CB5" w:rsidRPr="005A5CB5" w14:paraId="532B8739"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20644AA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Benford, S., Barnard, P., Sharples, S., Webb, H., Mancini, C., Kucukyilmaz, A., Green, S.C., Schneiders, E., Ngo, V., Chamberlain, A., Fischer, J., Salimbeni, G., Tandavanitj, N., Adams, M., Farr, J.R. (2026). Charting the Ecosystem of Trust in Cat Royale Or What It Takes to Trust a Robot to Play with Cats. Lecture Notes in Computer Science, Vol. 16133, 623-636. </w:t>
            </w:r>
            <w:r w:rsidRPr="005A5CB5">
              <w:rPr>
                <w:rFonts w:ascii="Arial" w:eastAsia="Times New Roman" w:hAnsi="Arial" w:cs="Arial"/>
                <w:color w:val="000000"/>
                <w:sz w:val="20"/>
                <w:szCs w:val="20"/>
                <w:lang w:eastAsia="en-GB"/>
              </w:rPr>
              <w:br/>
              <w:t xml:space="preserve">https://doi.org/10.1007/978-981-95-2398-6_42 </w:t>
            </w:r>
          </w:p>
        </w:tc>
        <w:tc>
          <w:tcPr>
            <w:tcW w:w="940" w:type="dxa"/>
            <w:tcBorders>
              <w:top w:val="nil"/>
              <w:left w:val="nil"/>
              <w:bottom w:val="single" w:sz="4" w:space="0" w:color="auto"/>
              <w:right w:val="single" w:sz="4" w:space="0" w:color="auto"/>
            </w:tcBorders>
            <w:shd w:val="clear" w:color="000000" w:fill="E7F1F9"/>
            <w:noWrap/>
            <w:vAlign w:val="bottom"/>
            <w:hideMark/>
          </w:tcPr>
          <w:p w14:paraId="4291CC3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6E53BC4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640" w:type="dxa"/>
            <w:tcBorders>
              <w:top w:val="nil"/>
              <w:left w:val="nil"/>
              <w:bottom w:val="single" w:sz="4" w:space="0" w:color="auto"/>
              <w:right w:val="single" w:sz="4" w:space="0" w:color="auto"/>
            </w:tcBorders>
            <w:shd w:val="clear" w:color="000000" w:fill="E7F1F9"/>
            <w:noWrap/>
            <w:vAlign w:val="bottom"/>
            <w:hideMark/>
          </w:tcPr>
          <w:p w14:paraId="1D6BFF3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5.64</w:t>
            </w:r>
          </w:p>
        </w:tc>
      </w:tr>
      <w:tr w:rsidR="005A5CB5" w:rsidRPr="005A5CB5" w14:paraId="0B921A31"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47EF7B29"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t xml:space="preserve">Ochang, P., Eke, D., Stahl, B.C. (2023). </w:t>
            </w:r>
            <w:r w:rsidRPr="005A5CB5">
              <w:rPr>
                <w:rFonts w:ascii="Arial" w:eastAsia="Times New Roman" w:hAnsi="Arial" w:cs="Arial"/>
                <w:color w:val="000000"/>
                <w:sz w:val="20"/>
                <w:szCs w:val="20"/>
                <w:lang w:eastAsia="en-GB"/>
              </w:rPr>
              <w:t xml:space="preserve">Corrigendum: Towards an understanding of global brain data governance: ethical positions that </w:t>
            </w:r>
            <w:r w:rsidRPr="005A5CB5">
              <w:rPr>
                <w:rFonts w:ascii="Arial" w:eastAsia="Times New Roman" w:hAnsi="Arial" w:cs="Arial"/>
                <w:color w:val="000000"/>
                <w:sz w:val="20"/>
                <w:szCs w:val="20"/>
                <w:lang w:eastAsia="en-GB"/>
              </w:rPr>
              <w:lastRenderedPageBreak/>
              <w:t xml:space="preserve">underpin global brain data governance discourse(Front. Big Data, (2023), 6, (1240660), 10.3389/fdata.2023.1240660). Frontiers in Big Data, Vol. 6, Article 1344345. </w:t>
            </w:r>
            <w:r w:rsidRPr="005A5CB5">
              <w:rPr>
                <w:rFonts w:ascii="Arial" w:eastAsia="Times New Roman" w:hAnsi="Arial" w:cs="Arial"/>
                <w:color w:val="000000"/>
                <w:sz w:val="20"/>
                <w:szCs w:val="20"/>
                <w:lang w:eastAsia="en-GB"/>
              </w:rPr>
              <w:br/>
              <w:t xml:space="preserve">https://doi.org/10.3389/fdata.2023.1344345 </w:t>
            </w:r>
          </w:p>
        </w:tc>
        <w:tc>
          <w:tcPr>
            <w:tcW w:w="940" w:type="dxa"/>
            <w:tcBorders>
              <w:top w:val="nil"/>
              <w:left w:val="nil"/>
              <w:bottom w:val="single" w:sz="4" w:space="0" w:color="auto"/>
              <w:right w:val="single" w:sz="4" w:space="0" w:color="auto"/>
            </w:tcBorders>
            <w:noWrap/>
            <w:vAlign w:val="bottom"/>
            <w:hideMark/>
          </w:tcPr>
          <w:p w14:paraId="4954AB7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lastRenderedPageBreak/>
              <w:t>2</w:t>
            </w:r>
          </w:p>
        </w:tc>
        <w:tc>
          <w:tcPr>
            <w:tcW w:w="1040" w:type="dxa"/>
            <w:tcBorders>
              <w:top w:val="nil"/>
              <w:left w:val="nil"/>
              <w:bottom w:val="single" w:sz="4" w:space="0" w:color="auto"/>
              <w:right w:val="single" w:sz="4" w:space="0" w:color="auto"/>
            </w:tcBorders>
            <w:noWrap/>
            <w:vAlign w:val="bottom"/>
            <w:hideMark/>
          </w:tcPr>
          <w:p w14:paraId="50439AD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w:t>
            </w:r>
          </w:p>
        </w:tc>
        <w:tc>
          <w:tcPr>
            <w:tcW w:w="640" w:type="dxa"/>
            <w:tcBorders>
              <w:top w:val="nil"/>
              <w:left w:val="nil"/>
              <w:bottom w:val="single" w:sz="4" w:space="0" w:color="auto"/>
              <w:right w:val="single" w:sz="4" w:space="0" w:color="auto"/>
            </w:tcBorders>
            <w:noWrap/>
            <w:vAlign w:val="bottom"/>
            <w:hideMark/>
          </w:tcPr>
          <w:p w14:paraId="4C9858C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5.28</w:t>
            </w:r>
          </w:p>
        </w:tc>
      </w:tr>
      <w:tr w:rsidR="005A5CB5" w:rsidRPr="005A5CB5" w14:paraId="4E5BB9B9"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7F038C1C"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(2026). A framework for value sensitive design in socio-technical digital ecosystems. European Journal of Information Systems, Vol. 35, issue 2, 324-342. </w:t>
            </w:r>
            <w:r w:rsidRPr="005A5CB5">
              <w:rPr>
                <w:rFonts w:ascii="Arial" w:eastAsia="Times New Roman" w:hAnsi="Arial" w:cs="Arial"/>
                <w:color w:val="000000"/>
                <w:sz w:val="20"/>
                <w:szCs w:val="20"/>
                <w:lang w:eastAsia="en-GB"/>
              </w:rPr>
              <w:br/>
              <w:t xml:space="preserve">https://doi.org/10.1080/0960085X.2025.2595915 </w:t>
            </w:r>
          </w:p>
        </w:tc>
        <w:tc>
          <w:tcPr>
            <w:tcW w:w="940" w:type="dxa"/>
            <w:tcBorders>
              <w:top w:val="nil"/>
              <w:left w:val="nil"/>
              <w:bottom w:val="single" w:sz="4" w:space="0" w:color="auto"/>
              <w:right w:val="single" w:sz="4" w:space="0" w:color="auto"/>
            </w:tcBorders>
            <w:shd w:val="clear" w:color="000000" w:fill="E7F1F9"/>
            <w:noWrap/>
            <w:vAlign w:val="bottom"/>
            <w:hideMark/>
          </w:tcPr>
          <w:p w14:paraId="462304D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w:t>
            </w:r>
          </w:p>
        </w:tc>
        <w:tc>
          <w:tcPr>
            <w:tcW w:w="1040" w:type="dxa"/>
            <w:tcBorders>
              <w:top w:val="nil"/>
              <w:left w:val="nil"/>
              <w:bottom w:val="single" w:sz="4" w:space="0" w:color="auto"/>
              <w:right w:val="single" w:sz="4" w:space="0" w:color="auto"/>
            </w:tcBorders>
            <w:shd w:val="clear" w:color="000000" w:fill="E7F1F9"/>
            <w:noWrap/>
            <w:vAlign w:val="bottom"/>
            <w:hideMark/>
          </w:tcPr>
          <w:p w14:paraId="487E3AF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640" w:type="dxa"/>
            <w:tcBorders>
              <w:top w:val="nil"/>
              <w:left w:val="nil"/>
              <w:bottom w:val="single" w:sz="4" w:space="0" w:color="auto"/>
              <w:right w:val="single" w:sz="4" w:space="0" w:color="auto"/>
            </w:tcBorders>
            <w:shd w:val="clear" w:color="000000" w:fill="E7F1F9"/>
            <w:noWrap/>
            <w:vAlign w:val="bottom"/>
            <w:hideMark/>
          </w:tcPr>
          <w:p w14:paraId="2DA92E2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5.12</w:t>
            </w:r>
          </w:p>
        </w:tc>
      </w:tr>
      <w:tr w:rsidR="005A5CB5" w:rsidRPr="005A5CB5" w14:paraId="2781CE7A"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FF0D336"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Hargreaves, C., Breitinger, F., Dowthwaite, L., Webb, H., Scanlon, M. (2024). DFPulse: The 2024 digital forensic practitioner survey. Forensic Science International: Digital Investigation, Vol. 51, Article 301844. </w:t>
            </w:r>
            <w:r w:rsidRPr="005A5CB5">
              <w:rPr>
                <w:rFonts w:ascii="Arial" w:eastAsia="Times New Roman" w:hAnsi="Arial" w:cs="Arial"/>
                <w:color w:val="000000"/>
                <w:sz w:val="20"/>
                <w:szCs w:val="20"/>
                <w:lang w:eastAsia="en-GB"/>
              </w:rPr>
              <w:br/>
              <w:t xml:space="preserve">https://doi.org/10.1016/j.fsidi.2024.301844 </w:t>
            </w:r>
          </w:p>
        </w:tc>
        <w:tc>
          <w:tcPr>
            <w:tcW w:w="940" w:type="dxa"/>
            <w:tcBorders>
              <w:top w:val="nil"/>
              <w:left w:val="nil"/>
              <w:bottom w:val="single" w:sz="4" w:space="0" w:color="auto"/>
              <w:right w:val="single" w:sz="4" w:space="0" w:color="auto"/>
            </w:tcBorders>
            <w:noWrap/>
            <w:vAlign w:val="bottom"/>
            <w:hideMark/>
          </w:tcPr>
          <w:p w14:paraId="44E392C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25</w:t>
            </w:r>
          </w:p>
        </w:tc>
        <w:tc>
          <w:tcPr>
            <w:tcW w:w="1040" w:type="dxa"/>
            <w:tcBorders>
              <w:top w:val="nil"/>
              <w:left w:val="nil"/>
              <w:bottom w:val="single" w:sz="4" w:space="0" w:color="auto"/>
              <w:right w:val="single" w:sz="4" w:space="0" w:color="auto"/>
            </w:tcBorders>
            <w:noWrap/>
            <w:vAlign w:val="bottom"/>
            <w:hideMark/>
          </w:tcPr>
          <w:p w14:paraId="69821C0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w:t>
            </w:r>
          </w:p>
        </w:tc>
        <w:tc>
          <w:tcPr>
            <w:tcW w:w="640" w:type="dxa"/>
            <w:tcBorders>
              <w:top w:val="nil"/>
              <w:left w:val="nil"/>
              <w:bottom w:val="single" w:sz="4" w:space="0" w:color="auto"/>
              <w:right w:val="single" w:sz="4" w:space="0" w:color="auto"/>
            </w:tcBorders>
            <w:noWrap/>
            <w:vAlign w:val="bottom"/>
            <w:hideMark/>
          </w:tcPr>
          <w:p w14:paraId="3F79320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5.11</w:t>
            </w:r>
          </w:p>
        </w:tc>
      </w:tr>
      <w:tr w:rsidR="005A5CB5" w:rsidRPr="005A5CB5" w14:paraId="39E9255F"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39DAE92D"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t xml:space="preserve">Herzog, C., Blank, S., Stahl, B.C. (2025). </w:t>
            </w:r>
            <w:r w:rsidRPr="005A5CB5">
              <w:rPr>
                <w:rFonts w:ascii="Arial" w:eastAsia="Times New Roman" w:hAnsi="Arial" w:cs="Arial"/>
                <w:color w:val="000000"/>
                <w:sz w:val="20"/>
                <w:szCs w:val="20"/>
                <w:lang w:eastAsia="en-GB"/>
              </w:rPr>
              <w:t xml:space="preserve">Towards trustworthy medical AI ecosystems – a proposal for supporting responsible innovation practices in AI-based medical innovation. AI and Society, Vol. 40, issue 4, 2119-2139, Article 119995. </w:t>
            </w:r>
            <w:r w:rsidRPr="005A5CB5">
              <w:rPr>
                <w:rFonts w:ascii="Arial" w:eastAsia="Times New Roman" w:hAnsi="Arial" w:cs="Arial"/>
                <w:color w:val="000000"/>
                <w:sz w:val="20"/>
                <w:szCs w:val="20"/>
                <w:lang w:eastAsia="en-GB"/>
              </w:rPr>
              <w:br/>
              <w:t xml:space="preserve">https://doi.org/10.1007/s00146-024-02082-z </w:t>
            </w:r>
          </w:p>
        </w:tc>
        <w:tc>
          <w:tcPr>
            <w:tcW w:w="940" w:type="dxa"/>
            <w:tcBorders>
              <w:top w:val="nil"/>
              <w:left w:val="nil"/>
              <w:bottom w:val="single" w:sz="4" w:space="0" w:color="auto"/>
              <w:right w:val="single" w:sz="4" w:space="0" w:color="auto"/>
            </w:tcBorders>
            <w:shd w:val="clear" w:color="000000" w:fill="E7F1F9"/>
            <w:noWrap/>
            <w:vAlign w:val="bottom"/>
            <w:hideMark/>
          </w:tcPr>
          <w:p w14:paraId="1E30286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11</w:t>
            </w:r>
          </w:p>
        </w:tc>
        <w:tc>
          <w:tcPr>
            <w:tcW w:w="1040" w:type="dxa"/>
            <w:tcBorders>
              <w:top w:val="nil"/>
              <w:left w:val="nil"/>
              <w:bottom w:val="single" w:sz="4" w:space="0" w:color="auto"/>
              <w:right w:val="single" w:sz="4" w:space="0" w:color="auto"/>
            </w:tcBorders>
            <w:shd w:val="clear" w:color="000000" w:fill="E7F1F9"/>
            <w:noWrap/>
            <w:vAlign w:val="bottom"/>
            <w:hideMark/>
          </w:tcPr>
          <w:p w14:paraId="388BEFE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640" w:type="dxa"/>
            <w:tcBorders>
              <w:top w:val="nil"/>
              <w:left w:val="nil"/>
              <w:bottom w:val="single" w:sz="4" w:space="0" w:color="auto"/>
              <w:right w:val="single" w:sz="4" w:space="0" w:color="auto"/>
            </w:tcBorders>
            <w:shd w:val="clear" w:color="000000" w:fill="E7F1F9"/>
            <w:noWrap/>
            <w:vAlign w:val="bottom"/>
            <w:hideMark/>
          </w:tcPr>
          <w:p w14:paraId="6B8073D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5.04</w:t>
            </w:r>
          </w:p>
        </w:tc>
      </w:tr>
      <w:tr w:rsidR="005A5CB5" w:rsidRPr="005A5CB5" w14:paraId="5DCDF0FB"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404B89C0"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Carroll, N., Holmström, J., Stahl, B.C., Fabian, N.E. (2024). Navigating the Utopia and Dystopia Perspectives of Artificial Intelligence. Communications of the Association for Information Systems, Vol. 55. </w:t>
            </w:r>
          </w:p>
        </w:tc>
        <w:tc>
          <w:tcPr>
            <w:tcW w:w="940" w:type="dxa"/>
            <w:tcBorders>
              <w:top w:val="nil"/>
              <w:left w:val="nil"/>
              <w:bottom w:val="single" w:sz="4" w:space="0" w:color="auto"/>
              <w:right w:val="single" w:sz="4" w:space="0" w:color="auto"/>
            </w:tcBorders>
            <w:noWrap/>
            <w:vAlign w:val="bottom"/>
            <w:hideMark/>
          </w:tcPr>
          <w:p w14:paraId="2CF0553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34</w:t>
            </w:r>
          </w:p>
        </w:tc>
        <w:tc>
          <w:tcPr>
            <w:tcW w:w="1040" w:type="dxa"/>
            <w:tcBorders>
              <w:top w:val="nil"/>
              <w:left w:val="nil"/>
              <w:bottom w:val="single" w:sz="4" w:space="0" w:color="auto"/>
              <w:right w:val="single" w:sz="4" w:space="0" w:color="auto"/>
            </w:tcBorders>
            <w:noWrap/>
            <w:vAlign w:val="bottom"/>
            <w:hideMark/>
          </w:tcPr>
          <w:p w14:paraId="1B02810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w:t>
            </w:r>
          </w:p>
        </w:tc>
        <w:tc>
          <w:tcPr>
            <w:tcW w:w="640" w:type="dxa"/>
            <w:tcBorders>
              <w:top w:val="nil"/>
              <w:left w:val="nil"/>
              <w:bottom w:val="single" w:sz="4" w:space="0" w:color="auto"/>
              <w:right w:val="single" w:sz="4" w:space="0" w:color="auto"/>
            </w:tcBorders>
            <w:noWrap/>
            <w:vAlign w:val="bottom"/>
            <w:hideMark/>
          </w:tcPr>
          <w:p w14:paraId="4A1D36D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4.99</w:t>
            </w:r>
          </w:p>
        </w:tc>
      </w:tr>
      <w:tr w:rsidR="005A5CB5" w:rsidRPr="005A5CB5" w14:paraId="45346AD6"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0A2B855"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Owoyemi, A., Arthur, E., Ladi-Akinyemi, T., Babalola, Y., Eke, D.O. (2025). Trustworthy AI in Healthcare: Exploring Ethics in Digital Health Technologies in Nigeria. Trustworthy AI: African Perspectives, 193-206. </w:t>
            </w:r>
            <w:r w:rsidRPr="005A5CB5">
              <w:rPr>
                <w:rFonts w:ascii="Arial" w:eastAsia="Times New Roman" w:hAnsi="Arial" w:cs="Arial"/>
                <w:color w:val="000000"/>
                <w:sz w:val="20"/>
                <w:szCs w:val="20"/>
                <w:lang w:eastAsia="en-GB"/>
              </w:rPr>
              <w:br/>
              <w:t xml:space="preserve">https://doi.org/10.1007/978-3-031-75674-0_9 </w:t>
            </w:r>
          </w:p>
        </w:tc>
        <w:tc>
          <w:tcPr>
            <w:tcW w:w="940" w:type="dxa"/>
            <w:tcBorders>
              <w:top w:val="nil"/>
              <w:left w:val="nil"/>
              <w:bottom w:val="single" w:sz="4" w:space="0" w:color="auto"/>
              <w:right w:val="single" w:sz="4" w:space="0" w:color="auto"/>
            </w:tcBorders>
            <w:shd w:val="clear" w:color="000000" w:fill="E7F1F9"/>
            <w:noWrap/>
            <w:vAlign w:val="bottom"/>
            <w:hideMark/>
          </w:tcPr>
          <w:p w14:paraId="3D8664F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w:t>
            </w:r>
          </w:p>
        </w:tc>
        <w:tc>
          <w:tcPr>
            <w:tcW w:w="1040" w:type="dxa"/>
            <w:tcBorders>
              <w:top w:val="nil"/>
              <w:left w:val="nil"/>
              <w:bottom w:val="single" w:sz="4" w:space="0" w:color="auto"/>
              <w:right w:val="single" w:sz="4" w:space="0" w:color="auto"/>
            </w:tcBorders>
            <w:shd w:val="clear" w:color="000000" w:fill="E7F1F9"/>
            <w:noWrap/>
            <w:vAlign w:val="bottom"/>
            <w:hideMark/>
          </w:tcPr>
          <w:p w14:paraId="67DCAB5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640" w:type="dxa"/>
            <w:tcBorders>
              <w:top w:val="nil"/>
              <w:left w:val="nil"/>
              <w:bottom w:val="single" w:sz="4" w:space="0" w:color="auto"/>
              <w:right w:val="single" w:sz="4" w:space="0" w:color="auto"/>
            </w:tcBorders>
            <w:shd w:val="clear" w:color="000000" w:fill="E7F1F9"/>
            <w:noWrap/>
            <w:vAlign w:val="bottom"/>
            <w:hideMark/>
          </w:tcPr>
          <w:p w14:paraId="17A58D8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4.56</w:t>
            </w:r>
          </w:p>
        </w:tc>
      </w:tr>
      <w:tr w:rsidR="005A5CB5" w:rsidRPr="005A5CB5" w14:paraId="73CCF46C"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06F35CF3"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Hayashi, S., Caron, B.A., Heinsfeld, A.S., Vinci-Booher, S., McPherson, B., Bullock, D.N., Bertò, G., Niso, G., Hanekamp, S., Levitas, D., Ray, K., MacKenzie, A., Avesani, P., Kitchell, L., Leong, J.K., Nascimento-Silva, F., Koudoro, S., Willis, H., Jolly, J.K., Pisner, D., Zuidema, T.R., Kurzawski, J.W., Mikellidou, K., Bussalb, A., Chaumon, M., George, N., Rorden, C., Victory, C., Bhatia, D., Aydogan, D.B., Yeh, F.-C.F., Delogu, F., Guaje, J., Veraart, J., Fischer, J., Faskowitz, J., Fabrega, R., Hunt, D., McKee, S., Brown, S.T., Heyman, S., Iacovella, V., Mejia, A.F., Marinazzo, D., Craddock, R.C., Olivetti, E., Hanson, J.L., Garyfallidis, E., Stanzione, D., Carson, J., Henschel, R., Hancock, D.Y., Stewart, C.A., Schnyer, D., Eke, D.O., Poldrack, R.A., Bollmann, S., Stewart, A., Bridge, H., Sani, I., Freiwald, W.A., Puce, A., Port, N.L., Pestilli, F. (2024). brainlife.io: a decentralized and open-source cloud platform to support neuroscience research. Nature Methods, Vol. 21, issue 5, 809-813. </w:t>
            </w:r>
            <w:r w:rsidRPr="005A5CB5">
              <w:rPr>
                <w:rFonts w:ascii="Arial" w:eastAsia="Times New Roman" w:hAnsi="Arial" w:cs="Arial"/>
                <w:color w:val="000000"/>
                <w:sz w:val="20"/>
                <w:szCs w:val="20"/>
                <w:lang w:eastAsia="en-GB"/>
              </w:rPr>
              <w:br/>
              <w:t xml:space="preserve">https://doi.org/10.1038/s41592-024-02237-2 </w:t>
            </w:r>
          </w:p>
        </w:tc>
        <w:tc>
          <w:tcPr>
            <w:tcW w:w="940" w:type="dxa"/>
            <w:tcBorders>
              <w:top w:val="nil"/>
              <w:left w:val="nil"/>
              <w:bottom w:val="single" w:sz="4" w:space="0" w:color="auto"/>
              <w:right w:val="single" w:sz="4" w:space="0" w:color="auto"/>
            </w:tcBorders>
            <w:noWrap/>
            <w:vAlign w:val="bottom"/>
            <w:hideMark/>
          </w:tcPr>
          <w:p w14:paraId="41419B8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41</w:t>
            </w:r>
          </w:p>
        </w:tc>
        <w:tc>
          <w:tcPr>
            <w:tcW w:w="1040" w:type="dxa"/>
            <w:tcBorders>
              <w:top w:val="nil"/>
              <w:left w:val="nil"/>
              <w:bottom w:val="single" w:sz="4" w:space="0" w:color="auto"/>
              <w:right w:val="single" w:sz="4" w:space="0" w:color="auto"/>
            </w:tcBorders>
            <w:noWrap/>
            <w:vAlign w:val="bottom"/>
            <w:hideMark/>
          </w:tcPr>
          <w:p w14:paraId="0CF7C42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640" w:type="dxa"/>
            <w:tcBorders>
              <w:top w:val="nil"/>
              <w:left w:val="nil"/>
              <w:bottom w:val="single" w:sz="4" w:space="0" w:color="auto"/>
              <w:right w:val="single" w:sz="4" w:space="0" w:color="auto"/>
            </w:tcBorders>
            <w:noWrap/>
            <w:vAlign w:val="bottom"/>
            <w:hideMark/>
          </w:tcPr>
          <w:p w14:paraId="182C3A8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4.37</w:t>
            </w:r>
          </w:p>
        </w:tc>
      </w:tr>
      <w:tr w:rsidR="005A5CB5" w:rsidRPr="005A5CB5" w14:paraId="1596FCE4"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18C9CEB8" w14:textId="77777777" w:rsidR="005A5CB5" w:rsidRPr="007D41B0" w:rsidRDefault="005A5CB5" w:rsidP="005A5CB5">
            <w:pPr>
              <w:rPr>
                <w:rFonts w:ascii="Arial" w:eastAsia="Times New Roman" w:hAnsi="Arial" w:cs="Arial"/>
                <w:color w:val="000000"/>
                <w:sz w:val="20"/>
                <w:szCs w:val="20"/>
                <w:lang w:val="nl-BE" w:eastAsia="en-GB"/>
              </w:rPr>
            </w:pPr>
            <w:r w:rsidRPr="005A5CB5">
              <w:rPr>
                <w:rFonts w:ascii="Arial" w:eastAsia="Times New Roman" w:hAnsi="Arial" w:cs="Arial"/>
                <w:color w:val="000000"/>
                <w:sz w:val="20"/>
                <w:szCs w:val="20"/>
                <w:lang w:eastAsia="en-GB"/>
              </w:rPr>
              <w:t xml:space="preserve">Omeiza, D., Anjomshoae, S., Webb, H., Jirotka, M., Kunze, L. (2022). From Spoken Thoughts to Automated Driving Commentary: Predicting and Explaining Intelligent Vehicles' Actions. </w:t>
            </w:r>
            <w:r w:rsidRPr="007D41B0">
              <w:rPr>
                <w:rFonts w:ascii="Arial" w:eastAsia="Times New Roman" w:hAnsi="Arial" w:cs="Arial"/>
                <w:color w:val="000000"/>
                <w:sz w:val="20"/>
                <w:szCs w:val="20"/>
                <w:lang w:val="nl-BE" w:eastAsia="en-GB"/>
              </w:rPr>
              <w:t xml:space="preserve">IEEE Intelligent Vehicles Symposium, Proceedings, Vol. 2022-, 1040-1047. </w:t>
            </w:r>
            <w:r w:rsidRPr="007D41B0">
              <w:rPr>
                <w:rFonts w:ascii="Arial" w:eastAsia="Times New Roman" w:hAnsi="Arial" w:cs="Arial"/>
                <w:color w:val="000000"/>
                <w:sz w:val="20"/>
                <w:szCs w:val="20"/>
                <w:lang w:val="nl-BE" w:eastAsia="en-GB"/>
              </w:rPr>
              <w:br/>
              <w:t xml:space="preserve">https://doi.org/10.1109/IV51971.2022.9827345 </w:t>
            </w:r>
          </w:p>
        </w:tc>
        <w:tc>
          <w:tcPr>
            <w:tcW w:w="940" w:type="dxa"/>
            <w:tcBorders>
              <w:top w:val="nil"/>
              <w:left w:val="nil"/>
              <w:bottom w:val="single" w:sz="4" w:space="0" w:color="auto"/>
              <w:right w:val="single" w:sz="4" w:space="0" w:color="auto"/>
            </w:tcBorders>
            <w:shd w:val="clear" w:color="000000" w:fill="E7F1F9"/>
            <w:noWrap/>
            <w:vAlign w:val="bottom"/>
            <w:hideMark/>
          </w:tcPr>
          <w:p w14:paraId="110C298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13</w:t>
            </w:r>
          </w:p>
        </w:tc>
        <w:tc>
          <w:tcPr>
            <w:tcW w:w="1040" w:type="dxa"/>
            <w:tcBorders>
              <w:top w:val="nil"/>
              <w:left w:val="nil"/>
              <w:bottom w:val="single" w:sz="4" w:space="0" w:color="auto"/>
              <w:right w:val="single" w:sz="4" w:space="0" w:color="auto"/>
            </w:tcBorders>
            <w:shd w:val="clear" w:color="000000" w:fill="E7F1F9"/>
            <w:noWrap/>
            <w:vAlign w:val="bottom"/>
            <w:hideMark/>
          </w:tcPr>
          <w:p w14:paraId="1AA130B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640" w:type="dxa"/>
            <w:tcBorders>
              <w:top w:val="nil"/>
              <w:left w:val="nil"/>
              <w:bottom w:val="single" w:sz="4" w:space="0" w:color="auto"/>
              <w:right w:val="single" w:sz="4" w:space="0" w:color="auto"/>
            </w:tcBorders>
            <w:shd w:val="clear" w:color="000000" w:fill="E7F1F9"/>
            <w:noWrap/>
            <w:vAlign w:val="bottom"/>
            <w:hideMark/>
          </w:tcPr>
          <w:p w14:paraId="34D6200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3.61</w:t>
            </w:r>
          </w:p>
        </w:tc>
      </w:tr>
      <w:tr w:rsidR="005A5CB5" w:rsidRPr="005A5CB5" w14:paraId="64EDC069"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5C707C96"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Eke, D., Chavarriaga, R., Stahl, B. (2026). Decoloniality impact assessment for AI. AI and Society, Vol. 41, issue 3, 2213-2228. </w:t>
            </w:r>
            <w:r w:rsidRPr="005A5CB5">
              <w:rPr>
                <w:rFonts w:ascii="Arial" w:eastAsia="Times New Roman" w:hAnsi="Arial" w:cs="Arial"/>
                <w:color w:val="000000"/>
                <w:sz w:val="20"/>
                <w:szCs w:val="20"/>
                <w:lang w:eastAsia="en-GB"/>
              </w:rPr>
              <w:br/>
              <w:t xml:space="preserve">https://doi.org/10.1007/s00146-025-02649-4 </w:t>
            </w:r>
          </w:p>
        </w:tc>
        <w:tc>
          <w:tcPr>
            <w:tcW w:w="940" w:type="dxa"/>
            <w:tcBorders>
              <w:top w:val="nil"/>
              <w:left w:val="nil"/>
              <w:bottom w:val="single" w:sz="4" w:space="0" w:color="auto"/>
              <w:right w:val="single" w:sz="4" w:space="0" w:color="auto"/>
            </w:tcBorders>
            <w:noWrap/>
            <w:vAlign w:val="bottom"/>
            <w:hideMark/>
          </w:tcPr>
          <w:p w14:paraId="6268647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1040" w:type="dxa"/>
            <w:tcBorders>
              <w:top w:val="nil"/>
              <w:left w:val="nil"/>
              <w:bottom w:val="single" w:sz="4" w:space="0" w:color="auto"/>
              <w:right w:val="single" w:sz="4" w:space="0" w:color="auto"/>
            </w:tcBorders>
            <w:noWrap/>
            <w:vAlign w:val="bottom"/>
            <w:hideMark/>
          </w:tcPr>
          <w:p w14:paraId="59E2877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8%</w:t>
            </w:r>
          </w:p>
        </w:tc>
        <w:tc>
          <w:tcPr>
            <w:tcW w:w="640" w:type="dxa"/>
            <w:tcBorders>
              <w:top w:val="nil"/>
              <w:left w:val="nil"/>
              <w:bottom w:val="single" w:sz="4" w:space="0" w:color="auto"/>
              <w:right w:val="single" w:sz="4" w:space="0" w:color="auto"/>
            </w:tcBorders>
            <w:noWrap/>
            <w:vAlign w:val="bottom"/>
            <w:hideMark/>
          </w:tcPr>
          <w:p w14:paraId="6272B09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3.59</w:t>
            </w:r>
          </w:p>
        </w:tc>
      </w:tr>
      <w:tr w:rsidR="005A5CB5" w:rsidRPr="005A5CB5" w14:paraId="677970C3"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0FFB6C64"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Curran, T., Ito-Jaeger, S., Perez Vallejos, E., Crawford, P. (2023). </w:t>
            </w:r>
            <w:r w:rsidRPr="005A5CB5">
              <w:rPr>
                <w:rFonts w:ascii="Arial" w:eastAsia="Times New Roman" w:hAnsi="Arial" w:cs="Arial"/>
                <w:color w:val="000000"/>
                <w:sz w:val="20"/>
                <w:szCs w:val="20"/>
                <w:lang w:eastAsia="en-GB"/>
              </w:rPr>
              <w:t xml:space="preserve">What’s up with everyone?’: The effectiveness of a digital media mental health literacy campaign for young people. Journal of Mental Health, Vol. 32, issue 3, 612-618. </w:t>
            </w:r>
            <w:r w:rsidRPr="005A5CB5">
              <w:rPr>
                <w:rFonts w:ascii="Arial" w:eastAsia="Times New Roman" w:hAnsi="Arial" w:cs="Arial"/>
                <w:color w:val="000000"/>
                <w:sz w:val="20"/>
                <w:szCs w:val="20"/>
                <w:lang w:eastAsia="en-GB"/>
              </w:rPr>
              <w:br/>
              <w:t xml:space="preserve">https://doi.org/10.1080/09638237.2023.2182412 </w:t>
            </w:r>
          </w:p>
        </w:tc>
        <w:tc>
          <w:tcPr>
            <w:tcW w:w="940" w:type="dxa"/>
            <w:tcBorders>
              <w:top w:val="nil"/>
              <w:left w:val="nil"/>
              <w:bottom w:val="single" w:sz="4" w:space="0" w:color="auto"/>
              <w:right w:val="single" w:sz="4" w:space="0" w:color="auto"/>
            </w:tcBorders>
            <w:shd w:val="clear" w:color="000000" w:fill="E7F1F9"/>
            <w:noWrap/>
            <w:vAlign w:val="bottom"/>
            <w:hideMark/>
          </w:tcPr>
          <w:p w14:paraId="3B79EF8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32</w:t>
            </w:r>
          </w:p>
        </w:tc>
        <w:tc>
          <w:tcPr>
            <w:tcW w:w="1040" w:type="dxa"/>
            <w:tcBorders>
              <w:top w:val="nil"/>
              <w:left w:val="nil"/>
              <w:bottom w:val="single" w:sz="4" w:space="0" w:color="auto"/>
              <w:right w:val="single" w:sz="4" w:space="0" w:color="auto"/>
            </w:tcBorders>
            <w:shd w:val="clear" w:color="000000" w:fill="E7F1F9"/>
            <w:noWrap/>
            <w:vAlign w:val="bottom"/>
            <w:hideMark/>
          </w:tcPr>
          <w:p w14:paraId="4FE7C90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w:t>
            </w:r>
          </w:p>
        </w:tc>
        <w:tc>
          <w:tcPr>
            <w:tcW w:w="640" w:type="dxa"/>
            <w:tcBorders>
              <w:top w:val="nil"/>
              <w:left w:val="nil"/>
              <w:bottom w:val="single" w:sz="4" w:space="0" w:color="auto"/>
              <w:right w:val="single" w:sz="4" w:space="0" w:color="auto"/>
            </w:tcBorders>
            <w:shd w:val="clear" w:color="000000" w:fill="E7F1F9"/>
            <w:noWrap/>
            <w:vAlign w:val="bottom"/>
            <w:hideMark/>
          </w:tcPr>
          <w:p w14:paraId="0A18762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3.31</w:t>
            </w:r>
          </w:p>
        </w:tc>
      </w:tr>
      <w:tr w:rsidR="005A5CB5" w:rsidRPr="005A5CB5" w14:paraId="6370C2DE"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38E7C454"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Hayashi, S., Caron, B.A., Heinsfeld, A.S., Vinci-Booher, S., McPherson, B., Bullock, D.N., Bertò, G., Niso, G., Hanekamp, S., Levitas, D., Ray, K., MacKenzie, A., Avesani, P., Kitchell, L., Leong, J.K., Nascimento-Silva, F., Koudoro, S., Willis, H., Jolly, J.K., Pisner, D., Zuidema, T.R., Kurzawski, J.W., Mikellidou, K., Bussalb, A., Chaumon, M., George, N., Rorden, C., Victory, C., Bhatia, D., </w:t>
            </w:r>
            <w:r w:rsidRPr="005A5CB5">
              <w:rPr>
                <w:rFonts w:ascii="Arial" w:eastAsia="Times New Roman" w:hAnsi="Arial" w:cs="Arial"/>
                <w:color w:val="000000"/>
                <w:sz w:val="20"/>
                <w:szCs w:val="20"/>
                <w:lang w:eastAsia="en-GB"/>
              </w:rPr>
              <w:lastRenderedPageBreak/>
              <w:t xml:space="preserve">Aydogan, D.B., Yeh, F.-C.F., Delogu, F., Guaje, J., Veraart, J., Fischer, J., Faskowitz, J., Fabrega, R., Hunt, D., McKee, S., Brown, S.T., Heyman, S., Iacovella, V., Mejia, A.F., Marinazzo, D., Craddock, R.C., Olivetti, E., Hanson, J.L., Garyfallidis, E., Stanzione, D., Carson, J., Henschel, R., Hancock, D.Y., Stewart, C.A., Schnyer, D., Eke, D.O., Poldrack, R.A., Bollmann, S., Stewart, A., Bridge, H., Sani, I., Freiwald, W.A., Puce, A., Port, N.L., Pestilli, F. (2024). Correction to: brainlife.io: a decentralized and open-source cloud platform to support neuroscience research (Nature Methods, (2024), 21, 5, (809-813), 10.1038/s41592-024-02237-2). Nature Methods, Vol. 21, issue 6. </w:t>
            </w:r>
            <w:r w:rsidRPr="005A5CB5">
              <w:rPr>
                <w:rFonts w:ascii="Arial" w:eastAsia="Times New Roman" w:hAnsi="Arial" w:cs="Arial"/>
                <w:color w:val="000000"/>
                <w:sz w:val="20"/>
                <w:szCs w:val="20"/>
                <w:lang w:eastAsia="en-GB"/>
              </w:rPr>
              <w:br/>
              <w:t xml:space="preserve">https://doi.org/10.1038/s41592-024-02296-5 </w:t>
            </w:r>
          </w:p>
        </w:tc>
        <w:tc>
          <w:tcPr>
            <w:tcW w:w="940" w:type="dxa"/>
            <w:tcBorders>
              <w:top w:val="nil"/>
              <w:left w:val="nil"/>
              <w:bottom w:val="single" w:sz="4" w:space="0" w:color="auto"/>
              <w:right w:val="single" w:sz="4" w:space="0" w:color="auto"/>
            </w:tcBorders>
            <w:noWrap/>
            <w:vAlign w:val="bottom"/>
            <w:hideMark/>
          </w:tcPr>
          <w:p w14:paraId="2E639C0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lastRenderedPageBreak/>
              <w:t>1</w:t>
            </w:r>
          </w:p>
        </w:tc>
        <w:tc>
          <w:tcPr>
            <w:tcW w:w="1040" w:type="dxa"/>
            <w:tcBorders>
              <w:top w:val="nil"/>
              <w:left w:val="nil"/>
              <w:bottom w:val="single" w:sz="4" w:space="0" w:color="auto"/>
              <w:right w:val="single" w:sz="4" w:space="0" w:color="auto"/>
            </w:tcBorders>
            <w:noWrap/>
            <w:vAlign w:val="bottom"/>
            <w:hideMark/>
          </w:tcPr>
          <w:p w14:paraId="3E65F71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w:t>
            </w:r>
          </w:p>
        </w:tc>
        <w:tc>
          <w:tcPr>
            <w:tcW w:w="640" w:type="dxa"/>
            <w:tcBorders>
              <w:top w:val="nil"/>
              <w:left w:val="nil"/>
              <w:bottom w:val="single" w:sz="4" w:space="0" w:color="auto"/>
              <w:right w:val="single" w:sz="4" w:space="0" w:color="auto"/>
            </w:tcBorders>
            <w:noWrap/>
            <w:vAlign w:val="bottom"/>
            <w:hideMark/>
          </w:tcPr>
          <w:p w14:paraId="68C4DD7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3.19</w:t>
            </w:r>
          </w:p>
        </w:tc>
      </w:tr>
      <w:tr w:rsidR="005A5CB5" w:rsidRPr="005A5CB5" w14:paraId="3403AFFD"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77F0B807"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Rueda, J., Ausín, T., Coeckelbergh, M., del Valle, J.I., Lara, F., Liedo, B., Llorca Albareda, J., Mertes, H., Ranisch, R., Raposo, V.L., Stahl, B.C., Vilaça, M., de Miguel, Í. (2025). </w:t>
            </w:r>
            <w:r w:rsidRPr="005A5CB5">
              <w:rPr>
                <w:rFonts w:ascii="Arial" w:eastAsia="Times New Roman" w:hAnsi="Arial" w:cs="Arial"/>
                <w:color w:val="000000"/>
                <w:sz w:val="20"/>
                <w:szCs w:val="20"/>
                <w:lang w:eastAsia="en-GB"/>
              </w:rPr>
              <w:t xml:space="preserve">Why dignity is a troubling concept for AI ethics. Patterns, Vol. 6, issue 3, Article 101207. </w:t>
            </w:r>
            <w:r w:rsidRPr="005A5CB5">
              <w:rPr>
                <w:rFonts w:ascii="Arial" w:eastAsia="Times New Roman" w:hAnsi="Arial" w:cs="Arial"/>
                <w:color w:val="000000"/>
                <w:sz w:val="20"/>
                <w:szCs w:val="20"/>
                <w:lang w:eastAsia="en-GB"/>
              </w:rPr>
              <w:br/>
              <w:t xml:space="preserve">https://doi.org/10.1016/j.patter.2025.101207 </w:t>
            </w:r>
          </w:p>
        </w:tc>
        <w:tc>
          <w:tcPr>
            <w:tcW w:w="940" w:type="dxa"/>
            <w:tcBorders>
              <w:top w:val="nil"/>
              <w:left w:val="nil"/>
              <w:bottom w:val="single" w:sz="4" w:space="0" w:color="auto"/>
              <w:right w:val="single" w:sz="4" w:space="0" w:color="auto"/>
            </w:tcBorders>
            <w:shd w:val="clear" w:color="000000" w:fill="E7F1F9"/>
            <w:noWrap/>
            <w:vAlign w:val="bottom"/>
            <w:hideMark/>
          </w:tcPr>
          <w:p w14:paraId="68D0EEA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w:t>
            </w:r>
          </w:p>
        </w:tc>
        <w:tc>
          <w:tcPr>
            <w:tcW w:w="1040" w:type="dxa"/>
            <w:tcBorders>
              <w:top w:val="nil"/>
              <w:left w:val="nil"/>
              <w:bottom w:val="single" w:sz="4" w:space="0" w:color="auto"/>
              <w:right w:val="single" w:sz="4" w:space="0" w:color="auto"/>
            </w:tcBorders>
            <w:shd w:val="clear" w:color="000000" w:fill="E7F1F9"/>
            <w:noWrap/>
            <w:vAlign w:val="bottom"/>
            <w:hideMark/>
          </w:tcPr>
          <w:p w14:paraId="325FB41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8%</w:t>
            </w:r>
          </w:p>
        </w:tc>
        <w:tc>
          <w:tcPr>
            <w:tcW w:w="640" w:type="dxa"/>
            <w:tcBorders>
              <w:top w:val="nil"/>
              <w:left w:val="nil"/>
              <w:bottom w:val="single" w:sz="4" w:space="0" w:color="auto"/>
              <w:right w:val="single" w:sz="4" w:space="0" w:color="auto"/>
            </w:tcBorders>
            <w:shd w:val="clear" w:color="000000" w:fill="E7F1F9"/>
            <w:noWrap/>
            <w:vAlign w:val="bottom"/>
            <w:hideMark/>
          </w:tcPr>
          <w:p w14:paraId="1C8BA34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2.98</w:t>
            </w:r>
          </w:p>
        </w:tc>
      </w:tr>
      <w:tr w:rsidR="005A5CB5" w:rsidRPr="005A5CB5" w14:paraId="1CC8F2DC"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0C83448C"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Dowthwaite, L., Fischer, J., Vallejos, E.P., Portillo, V., Nichele, E., Goulden, M., McAuley, D. (2021). Public adoption of and trust in the nhs covid-19 contact tracing app in the united kingdom: Quantitative online survey study. Journal of Medical Internet Research, Vol. 23, issue 9, Article e29085. </w:t>
            </w:r>
            <w:r w:rsidRPr="005A5CB5">
              <w:rPr>
                <w:rFonts w:ascii="Arial" w:eastAsia="Times New Roman" w:hAnsi="Arial" w:cs="Arial"/>
                <w:color w:val="000000"/>
                <w:sz w:val="20"/>
                <w:szCs w:val="20"/>
                <w:lang w:eastAsia="en-GB"/>
              </w:rPr>
              <w:br/>
              <w:t xml:space="preserve">https://doi.org/10.2196/29085 </w:t>
            </w:r>
          </w:p>
        </w:tc>
        <w:tc>
          <w:tcPr>
            <w:tcW w:w="940" w:type="dxa"/>
            <w:tcBorders>
              <w:top w:val="nil"/>
              <w:left w:val="nil"/>
              <w:bottom w:val="single" w:sz="4" w:space="0" w:color="auto"/>
              <w:right w:val="single" w:sz="4" w:space="0" w:color="auto"/>
            </w:tcBorders>
            <w:noWrap/>
            <w:vAlign w:val="bottom"/>
            <w:hideMark/>
          </w:tcPr>
          <w:p w14:paraId="22E954D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53</w:t>
            </w:r>
          </w:p>
        </w:tc>
        <w:tc>
          <w:tcPr>
            <w:tcW w:w="1040" w:type="dxa"/>
            <w:tcBorders>
              <w:top w:val="nil"/>
              <w:left w:val="nil"/>
              <w:bottom w:val="single" w:sz="4" w:space="0" w:color="auto"/>
              <w:right w:val="single" w:sz="4" w:space="0" w:color="auto"/>
            </w:tcBorders>
            <w:noWrap/>
            <w:vAlign w:val="bottom"/>
            <w:hideMark/>
          </w:tcPr>
          <w:p w14:paraId="6C68E63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9%</w:t>
            </w:r>
          </w:p>
        </w:tc>
        <w:tc>
          <w:tcPr>
            <w:tcW w:w="640" w:type="dxa"/>
            <w:tcBorders>
              <w:top w:val="nil"/>
              <w:left w:val="nil"/>
              <w:bottom w:val="single" w:sz="4" w:space="0" w:color="auto"/>
              <w:right w:val="single" w:sz="4" w:space="0" w:color="auto"/>
            </w:tcBorders>
            <w:noWrap/>
            <w:vAlign w:val="bottom"/>
            <w:hideMark/>
          </w:tcPr>
          <w:p w14:paraId="0F53CC1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2.64</w:t>
            </w:r>
          </w:p>
        </w:tc>
      </w:tr>
      <w:tr w:rsidR="005A5CB5" w:rsidRPr="005A5CB5" w14:paraId="0EC4DBD0"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6419A25C"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Schumann, G., Barciela, R., Benegal, V., Bernard, A., Desrivieres, S., Feng, J., Gong, P., Heinz, A., Hunt, X., Jin, L., Luterbacher, J., Marquand, A., Meyer-Lindenberg, A., Salomon, J., Schwalber, A., Shetty, S., Stahl, B., Thompson, P. (2024). The Earth, Brain, Health Commission: how to preserve mental health in a changing environment. Nature Mental Health, Vol. 2, issue 10, 1121-1123. </w:t>
            </w:r>
            <w:r w:rsidRPr="005A5CB5">
              <w:rPr>
                <w:rFonts w:ascii="Arial" w:eastAsia="Times New Roman" w:hAnsi="Arial" w:cs="Arial"/>
                <w:color w:val="000000"/>
                <w:sz w:val="20"/>
                <w:szCs w:val="20"/>
                <w:lang w:eastAsia="en-GB"/>
              </w:rPr>
              <w:br/>
              <w:t xml:space="preserve">https://doi.org/10.1038/s44220-024-00314-1 </w:t>
            </w:r>
          </w:p>
        </w:tc>
        <w:tc>
          <w:tcPr>
            <w:tcW w:w="940" w:type="dxa"/>
            <w:tcBorders>
              <w:top w:val="nil"/>
              <w:left w:val="nil"/>
              <w:bottom w:val="single" w:sz="4" w:space="0" w:color="auto"/>
              <w:right w:val="single" w:sz="4" w:space="0" w:color="auto"/>
            </w:tcBorders>
            <w:shd w:val="clear" w:color="000000" w:fill="E7F1F9"/>
            <w:noWrap/>
            <w:vAlign w:val="bottom"/>
            <w:hideMark/>
          </w:tcPr>
          <w:p w14:paraId="4676855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w:t>
            </w:r>
          </w:p>
        </w:tc>
        <w:tc>
          <w:tcPr>
            <w:tcW w:w="1040" w:type="dxa"/>
            <w:tcBorders>
              <w:top w:val="nil"/>
              <w:left w:val="nil"/>
              <w:bottom w:val="single" w:sz="4" w:space="0" w:color="auto"/>
              <w:right w:val="single" w:sz="4" w:space="0" w:color="auto"/>
            </w:tcBorders>
            <w:shd w:val="clear" w:color="000000" w:fill="E7F1F9"/>
            <w:noWrap/>
            <w:vAlign w:val="bottom"/>
            <w:hideMark/>
          </w:tcPr>
          <w:p w14:paraId="4BE6B70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10%</w:t>
            </w:r>
          </w:p>
        </w:tc>
        <w:tc>
          <w:tcPr>
            <w:tcW w:w="640" w:type="dxa"/>
            <w:tcBorders>
              <w:top w:val="nil"/>
              <w:left w:val="nil"/>
              <w:bottom w:val="single" w:sz="4" w:space="0" w:color="auto"/>
              <w:right w:val="single" w:sz="4" w:space="0" w:color="auto"/>
            </w:tcBorders>
            <w:shd w:val="clear" w:color="000000" w:fill="E7F1F9"/>
            <w:noWrap/>
            <w:vAlign w:val="bottom"/>
            <w:hideMark/>
          </w:tcPr>
          <w:p w14:paraId="6D0909A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2.49</w:t>
            </w:r>
          </w:p>
        </w:tc>
      </w:tr>
      <w:tr w:rsidR="005A5CB5" w:rsidRPr="005A5CB5" w14:paraId="28BC05BA"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31316340"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Kourounis, G., Gilbert, S., Knight, S.R., Leal, A., Scully, J.L., Loupy, A., Martin, D.E., Preka, E., Primc, N., Seoane Martinez, F., Webb, H., Oniscu, G.C., Wilson, C. (2026). Shaping the Future of AI in Organ Transplantation: Position Paper of the European Society for Organ Transplantation. Transplant International, Vol. 39, Article 16316. </w:t>
            </w:r>
            <w:r w:rsidRPr="005A5CB5">
              <w:rPr>
                <w:rFonts w:ascii="Arial" w:eastAsia="Times New Roman" w:hAnsi="Arial" w:cs="Arial"/>
                <w:color w:val="000000"/>
                <w:sz w:val="20"/>
                <w:szCs w:val="20"/>
                <w:lang w:eastAsia="en-GB"/>
              </w:rPr>
              <w:br/>
              <w:t xml:space="preserve">https://doi.org/10.3389/ti.2026.16316 </w:t>
            </w:r>
          </w:p>
        </w:tc>
        <w:tc>
          <w:tcPr>
            <w:tcW w:w="940" w:type="dxa"/>
            <w:tcBorders>
              <w:top w:val="nil"/>
              <w:left w:val="nil"/>
              <w:bottom w:val="single" w:sz="4" w:space="0" w:color="auto"/>
              <w:right w:val="single" w:sz="4" w:space="0" w:color="auto"/>
            </w:tcBorders>
            <w:noWrap/>
            <w:vAlign w:val="bottom"/>
            <w:hideMark/>
          </w:tcPr>
          <w:p w14:paraId="4EB959E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noWrap/>
            <w:vAlign w:val="bottom"/>
            <w:hideMark/>
          </w:tcPr>
          <w:p w14:paraId="37BBC47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13%</w:t>
            </w:r>
          </w:p>
        </w:tc>
        <w:tc>
          <w:tcPr>
            <w:tcW w:w="640" w:type="dxa"/>
            <w:tcBorders>
              <w:top w:val="nil"/>
              <w:left w:val="nil"/>
              <w:bottom w:val="single" w:sz="4" w:space="0" w:color="auto"/>
              <w:right w:val="single" w:sz="4" w:space="0" w:color="auto"/>
            </w:tcBorders>
            <w:noWrap/>
            <w:vAlign w:val="bottom"/>
            <w:hideMark/>
          </w:tcPr>
          <w:p w14:paraId="396D149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2.36</w:t>
            </w:r>
          </w:p>
        </w:tc>
      </w:tr>
      <w:tr w:rsidR="005A5CB5" w:rsidRPr="005A5CB5" w14:paraId="5CE1FB19"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503489BC"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(2024). From Corporate Digital Responsibility to Responsible Digital Ecosystems. Sustainability (Switzerland) , Vol. 16, issue 12, Article 4972. </w:t>
            </w:r>
            <w:r w:rsidRPr="005A5CB5">
              <w:rPr>
                <w:rFonts w:ascii="Arial" w:eastAsia="Times New Roman" w:hAnsi="Arial" w:cs="Arial"/>
                <w:color w:val="000000"/>
                <w:sz w:val="20"/>
                <w:szCs w:val="20"/>
                <w:lang w:eastAsia="en-GB"/>
              </w:rPr>
              <w:br/>
              <w:t xml:space="preserve">https://doi.org/10.3390/su16124972 </w:t>
            </w:r>
          </w:p>
        </w:tc>
        <w:tc>
          <w:tcPr>
            <w:tcW w:w="940" w:type="dxa"/>
            <w:tcBorders>
              <w:top w:val="nil"/>
              <w:left w:val="nil"/>
              <w:bottom w:val="single" w:sz="4" w:space="0" w:color="auto"/>
              <w:right w:val="single" w:sz="4" w:space="0" w:color="auto"/>
            </w:tcBorders>
            <w:shd w:val="clear" w:color="000000" w:fill="E7F1F9"/>
            <w:noWrap/>
            <w:vAlign w:val="bottom"/>
            <w:hideMark/>
          </w:tcPr>
          <w:p w14:paraId="0A94D0F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22</w:t>
            </w:r>
          </w:p>
        </w:tc>
        <w:tc>
          <w:tcPr>
            <w:tcW w:w="1040" w:type="dxa"/>
            <w:tcBorders>
              <w:top w:val="nil"/>
              <w:left w:val="nil"/>
              <w:bottom w:val="single" w:sz="4" w:space="0" w:color="auto"/>
              <w:right w:val="single" w:sz="4" w:space="0" w:color="auto"/>
            </w:tcBorders>
            <w:shd w:val="clear" w:color="000000" w:fill="E7F1F9"/>
            <w:noWrap/>
            <w:vAlign w:val="bottom"/>
            <w:hideMark/>
          </w:tcPr>
          <w:p w14:paraId="0A22054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10%</w:t>
            </w:r>
          </w:p>
        </w:tc>
        <w:tc>
          <w:tcPr>
            <w:tcW w:w="640" w:type="dxa"/>
            <w:tcBorders>
              <w:top w:val="nil"/>
              <w:left w:val="nil"/>
              <w:bottom w:val="single" w:sz="4" w:space="0" w:color="auto"/>
              <w:right w:val="single" w:sz="4" w:space="0" w:color="auto"/>
            </w:tcBorders>
            <w:shd w:val="clear" w:color="000000" w:fill="E7F1F9"/>
            <w:noWrap/>
            <w:vAlign w:val="bottom"/>
            <w:hideMark/>
          </w:tcPr>
          <w:p w14:paraId="563225D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2.36</w:t>
            </w:r>
          </w:p>
        </w:tc>
      </w:tr>
      <w:tr w:rsidR="005A5CB5" w:rsidRPr="005A5CB5" w14:paraId="697FF189"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646ADA0D"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Cameron, H.R., Reyes-Cruz, G., Piskopani, A.-M., Barnard, P., Boudouraki, A., Caleb-Solly, P., Castle-Green, S.D., Fischer, J.E., Hyde, R., Kucukyilmaz, A., Maior, H.A. (2025). Acceptability, Acceptance and Adoption of Telepresence Robots in Museums: The Museum Professionals' Perspectives. Conference on Human Factors in Computing Systems - Proceedings , Article 431. </w:t>
            </w:r>
            <w:r w:rsidRPr="005A5CB5">
              <w:rPr>
                <w:rFonts w:ascii="Arial" w:eastAsia="Times New Roman" w:hAnsi="Arial" w:cs="Arial"/>
                <w:color w:val="000000"/>
                <w:sz w:val="20"/>
                <w:szCs w:val="20"/>
                <w:lang w:eastAsia="en-GB"/>
              </w:rPr>
              <w:br/>
              <w:t xml:space="preserve">https://doi.org/10.1145/3706598.3713533 </w:t>
            </w:r>
          </w:p>
        </w:tc>
        <w:tc>
          <w:tcPr>
            <w:tcW w:w="940" w:type="dxa"/>
            <w:tcBorders>
              <w:top w:val="nil"/>
              <w:left w:val="nil"/>
              <w:bottom w:val="single" w:sz="4" w:space="0" w:color="auto"/>
              <w:right w:val="single" w:sz="4" w:space="0" w:color="auto"/>
            </w:tcBorders>
            <w:noWrap/>
            <w:vAlign w:val="bottom"/>
            <w:hideMark/>
          </w:tcPr>
          <w:p w14:paraId="723C1B1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1040" w:type="dxa"/>
            <w:tcBorders>
              <w:top w:val="nil"/>
              <w:left w:val="nil"/>
              <w:bottom w:val="single" w:sz="4" w:space="0" w:color="auto"/>
              <w:right w:val="single" w:sz="4" w:space="0" w:color="auto"/>
            </w:tcBorders>
            <w:noWrap/>
            <w:vAlign w:val="bottom"/>
            <w:hideMark/>
          </w:tcPr>
          <w:p w14:paraId="06E8DAB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12%</w:t>
            </w:r>
          </w:p>
        </w:tc>
        <w:tc>
          <w:tcPr>
            <w:tcW w:w="640" w:type="dxa"/>
            <w:tcBorders>
              <w:top w:val="nil"/>
              <w:left w:val="nil"/>
              <w:bottom w:val="single" w:sz="4" w:space="0" w:color="auto"/>
              <w:right w:val="single" w:sz="4" w:space="0" w:color="auto"/>
            </w:tcBorders>
            <w:noWrap/>
            <w:vAlign w:val="bottom"/>
            <w:hideMark/>
          </w:tcPr>
          <w:p w14:paraId="2E1B545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2.29</w:t>
            </w:r>
          </w:p>
        </w:tc>
      </w:tr>
      <w:tr w:rsidR="005A5CB5" w:rsidRPr="005A5CB5" w14:paraId="11F61E1E"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6C6203BC"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Ali, R., Hitcham, L., Liebherr, M., Murray, R., Vallejos, E.P., Yankoukaya, A. (2026). Big tech, the state, or you? Who is responsible for generative AI addiction?. Behaviour and Information Technology. </w:t>
            </w:r>
            <w:r w:rsidRPr="005A5CB5">
              <w:rPr>
                <w:rFonts w:ascii="Arial" w:eastAsia="Times New Roman" w:hAnsi="Arial" w:cs="Arial"/>
                <w:color w:val="000000"/>
                <w:sz w:val="20"/>
                <w:szCs w:val="20"/>
                <w:lang w:eastAsia="en-GB"/>
              </w:rPr>
              <w:br/>
              <w:t xml:space="preserve">https://doi.org/10.1080/0144929X.2026.2663509 </w:t>
            </w:r>
          </w:p>
        </w:tc>
        <w:tc>
          <w:tcPr>
            <w:tcW w:w="940" w:type="dxa"/>
            <w:tcBorders>
              <w:top w:val="nil"/>
              <w:left w:val="nil"/>
              <w:bottom w:val="single" w:sz="4" w:space="0" w:color="auto"/>
              <w:right w:val="single" w:sz="4" w:space="0" w:color="auto"/>
            </w:tcBorders>
            <w:shd w:val="clear" w:color="000000" w:fill="E7F1F9"/>
            <w:noWrap/>
            <w:vAlign w:val="bottom"/>
            <w:hideMark/>
          </w:tcPr>
          <w:p w14:paraId="073643E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47D6B68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13%</w:t>
            </w:r>
          </w:p>
        </w:tc>
        <w:tc>
          <w:tcPr>
            <w:tcW w:w="640" w:type="dxa"/>
            <w:tcBorders>
              <w:top w:val="nil"/>
              <w:left w:val="nil"/>
              <w:bottom w:val="single" w:sz="4" w:space="0" w:color="auto"/>
              <w:right w:val="single" w:sz="4" w:space="0" w:color="auto"/>
            </w:tcBorders>
            <w:shd w:val="clear" w:color="000000" w:fill="E7F1F9"/>
            <w:noWrap/>
            <w:vAlign w:val="bottom"/>
            <w:hideMark/>
          </w:tcPr>
          <w:p w14:paraId="13251DD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2.26</w:t>
            </w:r>
          </w:p>
        </w:tc>
      </w:tr>
      <w:tr w:rsidR="005A5CB5" w:rsidRPr="005A5CB5" w14:paraId="316FB4FD"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9EE1F0B"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Arueyingho, O., O'Kane, A.A., Marshall, P., Aprioku, J.S., Webb, H., Shivam, R. (2025). Bridging Context and Culture: Designing Cross-Cultural Solutions for Type 2 Diabetes Care in Nigeria. DIS 2025 - Proceedings of the 2025 ACM Designing Interactive Systems Conference, 3390-3420. </w:t>
            </w:r>
            <w:r w:rsidRPr="005A5CB5">
              <w:rPr>
                <w:rFonts w:ascii="Arial" w:eastAsia="Times New Roman" w:hAnsi="Arial" w:cs="Arial"/>
                <w:color w:val="000000"/>
                <w:sz w:val="20"/>
                <w:szCs w:val="20"/>
                <w:lang w:eastAsia="en-GB"/>
              </w:rPr>
              <w:br/>
              <w:t xml:space="preserve">https://doi.org/10.1145/3715336.3735710 </w:t>
            </w:r>
          </w:p>
        </w:tc>
        <w:tc>
          <w:tcPr>
            <w:tcW w:w="940" w:type="dxa"/>
            <w:tcBorders>
              <w:top w:val="nil"/>
              <w:left w:val="nil"/>
              <w:bottom w:val="single" w:sz="4" w:space="0" w:color="auto"/>
              <w:right w:val="single" w:sz="4" w:space="0" w:color="auto"/>
            </w:tcBorders>
            <w:noWrap/>
            <w:vAlign w:val="bottom"/>
            <w:hideMark/>
          </w:tcPr>
          <w:p w14:paraId="2F29C10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1040" w:type="dxa"/>
            <w:tcBorders>
              <w:top w:val="nil"/>
              <w:left w:val="nil"/>
              <w:bottom w:val="single" w:sz="4" w:space="0" w:color="auto"/>
              <w:right w:val="single" w:sz="4" w:space="0" w:color="auto"/>
            </w:tcBorders>
            <w:noWrap/>
            <w:vAlign w:val="bottom"/>
            <w:hideMark/>
          </w:tcPr>
          <w:p w14:paraId="6FDF608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14%</w:t>
            </w:r>
          </w:p>
        </w:tc>
        <w:tc>
          <w:tcPr>
            <w:tcW w:w="640" w:type="dxa"/>
            <w:tcBorders>
              <w:top w:val="nil"/>
              <w:left w:val="nil"/>
              <w:bottom w:val="single" w:sz="4" w:space="0" w:color="auto"/>
              <w:right w:val="single" w:sz="4" w:space="0" w:color="auto"/>
            </w:tcBorders>
            <w:noWrap/>
            <w:vAlign w:val="bottom"/>
            <w:hideMark/>
          </w:tcPr>
          <w:p w14:paraId="6786978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2.02</w:t>
            </w:r>
          </w:p>
        </w:tc>
      </w:tr>
      <w:tr w:rsidR="005A5CB5" w:rsidRPr="005A5CB5" w14:paraId="79C994D7"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257F286D"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Tremblett, M., Webb, H., Ziebland, S., Stokoe, E., Aveyard, P., Albury, C. (2024). The Basis of Patient Resistance to Opportunistic Discussions About Weight in Primary Care. Health Communication, Vol. 39, issue 11, 2333-2345. </w:t>
            </w:r>
            <w:r w:rsidRPr="005A5CB5">
              <w:rPr>
                <w:rFonts w:ascii="Arial" w:eastAsia="Times New Roman" w:hAnsi="Arial" w:cs="Arial"/>
                <w:color w:val="000000"/>
                <w:sz w:val="20"/>
                <w:szCs w:val="20"/>
                <w:lang w:eastAsia="en-GB"/>
              </w:rPr>
              <w:br/>
              <w:t xml:space="preserve">https://doi.org/10.1080/10410236.2023.2266622 </w:t>
            </w:r>
          </w:p>
        </w:tc>
        <w:tc>
          <w:tcPr>
            <w:tcW w:w="940" w:type="dxa"/>
            <w:tcBorders>
              <w:top w:val="nil"/>
              <w:left w:val="nil"/>
              <w:bottom w:val="single" w:sz="4" w:space="0" w:color="auto"/>
              <w:right w:val="single" w:sz="4" w:space="0" w:color="auto"/>
            </w:tcBorders>
            <w:shd w:val="clear" w:color="000000" w:fill="E7F1F9"/>
            <w:noWrap/>
            <w:vAlign w:val="bottom"/>
            <w:hideMark/>
          </w:tcPr>
          <w:p w14:paraId="1A3EA14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10</w:t>
            </w:r>
          </w:p>
        </w:tc>
        <w:tc>
          <w:tcPr>
            <w:tcW w:w="1040" w:type="dxa"/>
            <w:tcBorders>
              <w:top w:val="nil"/>
              <w:left w:val="nil"/>
              <w:bottom w:val="single" w:sz="4" w:space="0" w:color="auto"/>
              <w:right w:val="single" w:sz="4" w:space="0" w:color="auto"/>
            </w:tcBorders>
            <w:shd w:val="clear" w:color="000000" w:fill="E7F1F9"/>
            <w:noWrap/>
            <w:vAlign w:val="bottom"/>
            <w:hideMark/>
          </w:tcPr>
          <w:p w14:paraId="6FBD3BA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13%</w:t>
            </w:r>
          </w:p>
        </w:tc>
        <w:tc>
          <w:tcPr>
            <w:tcW w:w="640" w:type="dxa"/>
            <w:tcBorders>
              <w:top w:val="nil"/>
              <w:left w:val="nil"/>
              <w:bottom w:val="single" w:sz="4" w:space="0" w:color="auto"/>
              <w:right w:val="single" w:sz="4" w:space="0" w:color="auto"/>
            </w:tcBorders>
            <w:shd w:val="clear" w:color="000000" w:fill="E7F1F9"/>
            <w:noWrap/>
            <w:vAlign w:val="bottom"/>
            <w:hideMark/>
          </w:tcPr>
          <w:p w14:paraId="49A5D42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1.97</w:t>
            </w:r>
          </w:p>
        </w:tc>
      </w:tr>
      <w:tr w:rsidR="005A5CB5" w:rsidRPr="005A5CB5" w14:paraId="4D2F30AF"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455FFBC9"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lastRenderedPageBreak/>
              <w:t xml:space="preserve">Liang, C., Yuan, J., Zhang, R., Tang, X., Schumann, G., Brandlistuen, R., Schikowski, T., Ogoh, G., Stahl, B., Köhler, V., Schwalber, A., Young, A.H., Chen, D., Zhang, Z., Yu, X., Agunbiade, K., Desrivières, S., Clinton, N., Thompson, P., Calhoun, V., Zhang, Y., Li, Y., Xia, Y., Dai, Y., Chang, X., Jia, T., Renner, P., Hese, S., Pearmund, C., Spanlang, B., Athanasiadis, A.-P., Petkoski, S., Jirsa, V., Patraskaki, M., Wilbertz, J., Schmitt, K., Sommer, P., Miller, A., Hoffmann, P., Heilmann-Heimbach, S., Mathey, C., Claus, I., Forstner, A.J., Nöthen, M.M., Eiroa-Orosa, F.J., Feixas, G., Pastor, Á., Gallego, J., Slater, M., Novarino, G., Bernas, A., Marquand, A., Böttger, S.J., Tschorn, M., Rapp, M., Ask, H., Kjelkenes, R., Fernández-Cabello, S., van der Meer, D., Westlye, L.T., Andreassen, O.A., Aden, R., Seefried, B., Neidhart, M., Nees, F., Janson, K., Christmann, N., Stringaris, A., Schwarz, E., Holz, N., Tost, H., Meyer-Lindenberg, A., Banaschewski, T., Schepanski, K., Schütz, T., Taron, U.-H., Jentsch, M., Eils, R., Twardziok, S., Ralser, M., Heinz, A., Walter, H., Roy, J.-C., Vaidya, N., Lett, T.A., Kebir, H., Serin, E., Polemiti, E., Hitchen, E. (2025). Projecting the morbidity burden of mental and behavioral disorders associated with increasing humid heat in Shanghai. Nature Mental Health, Vol. 3, issue 12, 1532-1544. </w:t>
            </w:r>
            <w:r w:rsidRPr="005A5CB5">
              <w:rPr>
                <w:rFonts w:ascii="Arial" w:eastAsia="Times New Roman" w:hAnsi="Arial" w:cs="Arial"/>
                <w:color w:val="000000"/>
                <w:sz w:val="20"/>
                <w:szCs w:val="20"/>
                <w:lang w:eastAsia="en-GB"/>
              </w:rPr>
              <w:br/>
              <w:t xml:space="preserve">https://doi.org/10.1038/s44220-025-00519-y </w:t>
            </w:r>
          </w:p>
        </w:tc>
        <w:tc>
          <w:tcPr>
            <w:tcW w:w="940" w:type="dxa"/>
            <w:tcBorders>
              <w:top w:val="nil"/>
              <w:left w:val="nil"/>
              <w:bottom w:val="single" w:sz="4" w:space="0" w:color="auto"/>
              <w:right w:val="single" w:sz="4" w:space="0" w:color="auto"/>
            </w:tcBorders>
            <w:noWrap/>
            <w:vAlign w:val="bottom"/>
            <w:hideMark/>
          </w:tcPr>
          <w:p w14:paraId="0E4B154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w:t>
            </w:r>
          </w:p>
        </w:tc>
        <w:tc>
          <w:tcPr>
            <w:tcW w:w="1040" w:type="dxa"/>
            <w:tcBorders>
              <w:top w:val="nil"/>
              <w:left w:val="nil"/>
              <w:bottom w:val="single" w:sz="4" w:space="0" w:color="auto"/>
              <w:right w:val="single" w:sz="4" w:space="0" w:color="auto"/>
            </w:tcBorders>
            <w:noWrap/>
            <w:vAlign w:val="bottom"/>
            <w:hideMark/>
          </w:tcPr>
          <w:p w14:paraId="717C14A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15%</w:t>
            </w:r>
          </w:p>
        </w:tc>
        <w:tc>
          <w:tcPr>
            <w:tcW w:w="640" w:type="dxa"/>
            <w:tcBorders>
              <w:top w:val="nil"/>
              <w:left w:val="nil"/>
              <w:bottom w:val="single" w:sz="4" w:space="0" w:color="auto"/>
              <w:right w:val="single" w:sz="4" w:space="0" w:color="auto"/>
            </w:tcBorders>
            <w:noWrap/>
            <w:vAlign w:val="bottom"/>
            <w:hideMark/>
          </w:tcPr>
          <w:p w14:paraId="4031AFB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1.89</w:t>
            </w:r>
          </w:p>
        </w:tc>
      </w:tr>
      <w:tr w:rsidR="005A5CB5" w:rsidRPr="005A5CB5" w14:paraId="02D41AE8"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266B99AB"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t xml:space="preserve">Bibizadeh, R.E., Procter, R., Girvan, C., Webb, H., Jirotka, M. (2023). </w:t>
            </w:r>
            <w:r w:rsidRPr="005A5CB5">
              <w:rPr>
                <w:rFonts w:ascii="Arial" w:eastAsia="Times New Roman" w:hAnsi="Arial" w:cs="Arial"/>
                <w:color w:val="000000"/>
                <w:sz w:val="20"/>
                <w:szCs w:val="20"/>
                <w:lang w:eastAsia="en-GB"/>
              </w:rPr>
              <w:t xml:space="preserve">Digitally Un/Free: the everyday impact of social media on the lives of young people. Learning, Media and Technology. </w:t>
            </w:r>
            <w:r w:rsidRPr="005A5CB5">
              <w:rPr>
                <w:rFonts w:ascii="Arial" w:eastAsia="Times New Roman" w:hAnsi="Arial" w:cs="Arial"/>
                <w:color w:val="000000"/>
                <w:sz w:val="20"/>
                <w:szCs w:val="20"/>
                <w:lang w:eastAsia="en-GB"/>
              </w:rPr>
              <w:br/>
              <w:t xml:space="preserve">https://doi.org/10.1080/17439884.2023.2237883 </w:t>
            </w:r>
          </w:p>
        </w:tc>
        <w:tc>
          <w:tcPr>
            <w:tcW w:w="940" w:type="dxa"/>
            <w:tcBorders>
              <w:top w:val="nil"/>
              <w:left w:val="nil"/>
              <w:bottom w:val="single" w:sz="4" w:space="0" w:color="auto"/>
              <w:right w:val="single" w:sz="4" w:space="0" w:color="auto"/>
            </w:tcBorders>
            <w:shd w:val="clear" w:color="000000" w:fill="E7F1F9"/>
            <w:noWrap/>
            <w:vAlign w:val="bottom"/>
            <w:hideMark/>
          </w:tcPr>
          <w:p w14:paraId="08F304C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9</w:t>
            </w:r>
          </w:p>
        </w:tc>
        <w:tc>
          <w:tcPr>
            <w:tcW w:w="1040" w:type="dxa"/>
            <w:tcBorders>
              <w:top w:val="nil"/>
              <w:left w:val="nil"/>
              <w:bottom w:val="single" w:sz="4" w:space="0" w:color="auto"/>
              <w:right w:val="single" w:sz="4" w:space="0" w:color="auto"/>
            </w:tcBorders>
            <w:shd w:val="clear" w:color="000000" w:fill="E7F1F9"/>
            <w:noWrap/>
            <w:vAlign w:val="bottom"/>
            <w:hideMark/>
          </w:tcPr>
          <w:p w14:paraId="6E0AD6A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16%</w:t>
            </w:r>
          </w:p>
        </w:tc>
        <w:tc>
          <w:tcPr>
            <w:tcW w:w="640" w:type="dxa"/>
            <w:tcBorders>
              <w:top w:val="nil"/>
              <w:left w:val="nil"/>
              <w:bottom w:val="single" w:sz="4" w:space="0" w:color="auto"/>
              <w:right w:val="single" w:sz="4" w:space="0" w:color="auto"/>
            </w:tcBorders>
            <w:shd w:val="clear" w:color="000000" w:fill="E7F1F9"/>
            <w:noWrap/>
            <w:vAlign w:val="bottom"/>
            <w:hideMark/>
          </w:tcPr>
          <w:p w14:paraId="30D8A8E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1.85</w:t>
            </w:r>
          </w:p>
        </w:tc>
      </w:tr>
      <w:tr w:rsidR="005A5CB5" w:rsidRPr="005A5CB5" w14:paraId="3689E7F9"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1E18F539"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Tremblett, M., Webb, H., Ziebland, S., Stokoe, E., Aveyard, P., Albury, C. (2022). Talking delicately: Providing opportunistic weight loss advice to people living with obesity. SSM - Qualitative Research in Health, Vol. 2, Article 100162. </w:t>
            </w:r>
            <w:r w:rsidRPr="005A5CB5">
              <w:rPr>
                <w:rFonts w:ascii="Arial" w:eastAsia="Times New Roman" w:hAnsi="Arial" w:cs="Arial"/>
                <w:color w:val="000000"/>
                <w:sz w:val="20"/>
                <w:szCs w:val="20"/>
                <w:lang w:eastAsia="en-GB"/>
              </w:rPr>
              <w:br/>
              <w:t xml:space="preserve">https://doi.org/10.1016/j.ssmqr.2022.100162 </w:t>
            </w:r>
          </w:p>
        </w:tc>
        <w:tc>
          <w:tcPr>
            <w:tcW w:w="940" w:type="dxa"/>
            <w:tcBorders>
              <w:top w:val="nil"/>
              <w:left w:val="nil"/>
              <w:bottom w:val="single" w:sz="4" w:space="0" w:color="auto"/>
              <w:right w:val="single" w:sz="4" w:space="0" w:color="auto"/>
            </w:tcBorders>
            <w:noWrap/>
            <w:vAlign w:val="bottom"/>
            <w:hideMark/>
          </w:tcPr>
          <w:p w14:paraId="3E84555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19</w:t>
            </w:r>
          </w:p>
        </w:tc>
        <w:tc>
          <w:tcPr>
            <w:tcW w:w="1040" w:type="dxa"/>
            <w:tcBorders>
              <w:top w:val="nil"/>
              <w:left w:val="nil"/>
              <w:bottom w:val="single" w:sz="4" w:space="0" w:color="auto"/>
              <w:right w:val="single" w:sz="4" w:space="0" w:color="auto"/>
            </w:tcBorders>
            <w:noWrap/>
            <w:vAlign w:val="bottom"/>
            <w:hideMark/>
          </w:tcPr>
          <w:p w14:paraId="75CBB07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14%</w:t>
            </w:r>
          </w:p>
        </w:tc>
        <w:tc>
          <w:tcPr>
            <w:tcW w:w="640" w:type="dxa"/>
            <w:tcBorders>
              <w:top w:val="nil"/>
              <w:left w:val="nil"/>
              <w:bottom w:val="single" w:sz="4" w:space="0" w:color="auto"/>
              <w:right w:val="single" w:sz="4" w:space="0" w:color="auto"/>
            </w:tcBorders>
            <w:noWrap/>
            <w:vAlign w:val="bottom"/>
            <w:hideMark/>
          </w:tcPr>
          <w:p w14:paraId="223DC3B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1.83</w:t>
            </w:r>
          </w:p>
        </w:tc>
      </w:tr>
      <w:tr w:rsidR="005A5CB5" w:rsidRPr="005A5CB5" w14:paraId="2C133C89"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6395008A"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(2025). Locating the Ethics of ChatGPT—Ethical Issues as Affordances in AI Ecosystems. Information (Switzerland), Vol. 16, issue 2, Article 104. </w:t>
            </w:r>
            <w:r w:rsidRPr="005A5CB5">
              <w:rPr>
                <w:rFonts w:ascii="Arial" w:eastAsia="Times New Roman" w:hAnsi="Arial" w:cs="Arial"/>
                <w:color w:val="000000"/>
                <w:sz w:val="20"/>
                <w:szCs w:val="20"/>
                <w:lang w:eastAsia="en-GB"/>
              </w:rPr>
              <w:br/>
              <w:t xml:space="preserve">https://doi.org/10.3390/info16020104 </w:t>
            </w:r>
          </w:p>
        </w:tc>
        <w:tc>
          <w:tcPr>
            <w:tcW w:w="940" w:type="dxa"/>
            <w:tcBorders>
              <w:top w:val="nil"/>
              <w:left w:val="nil"/>
              <w:bottom w:val="single" w:sz="4" w:space="0" w:color="auto"/>
              <w:right w:val="single" w:sz="4" w:space="0" w:color="auto"/>
            </w:tcBorders>
            <w:shd w:val="clear" w:color="000000" w:fill="E7F1F9"/>
            <w:noWrap/>
            <w:vAlign w:val="bottom"/>
            <w:hideMark/>
          </w:tcPr>
          <w:p w14:paraId="66429A1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8</w:t>
            </w:r>
          </w:p>
        </w:tc>
        <w:tc>
          <w:tcPr>
            <w:tcW w:w="1040" w:type="dxa"/>
            <w:tcBorders>
              <w:top w:val="nil"/>
              <w:left w:val="nil"/>
              <w:bottom w:val="single" w:sz="4" w:space="0" w:color="auto"/>
              <w:right w:val="single" w:sz="4" w:space="0" w:color="auto"/>
            </w:tcBorders>
            <w:shd w:val="clear" w:color="000000" w:fill="E7F1F9"/>
            <w:noWrap/>
            <w:vAlign w:val="bottom"/>
            <w:hideMark/>
          </w:tcPr>
          <w:p w14:paraId="241ECDD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17%</w:t>
            </w:r>
          </w:p>
        </w:tc>
        <w:tc>
          <w:tcPr>
            <w:tcW w:w="640" w:type="dxa"/>
            <w:tcBorders>
              <w:top w:val="nil"/>
              <w:left w:val="nil"/>
              <w:bottom w:val="single" w:sz="4" w:space="0" w:color="auto"/>
              <w:right w:val="single" w:sz="4" w:space="0" w:color="auto"/>
            </w:tcBorders>
            <w:shd w:val="clear" w:color="000000" w:fill="E7F1F9"/>
            <w:noWrap/>
            <w:vAlign w:val="bottom"/>
            <w:hideMark/>
          </w:tcPr>
          <w:p w14:paraId="4CCB3DE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1.74</w:t>
            </w:r>
          </w:p>
        </w:tc>
      </w:tr>
      <w:tr w:rsidR="005A5CB5" w:rsidRPr="005A5CB5" w14:paraId="55017AF7"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79061747"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Adamu, M., Muashekele, C., Mthoko, H., Lazem, S., Bidwell, N., Peters, A. (2025). What if </w:t>
            </w:r>
            <w:r w:rsidRPr="005A5CB5">
              <w:rPr>
                <w:rFonts w:ascii="Cambria Math" w:eastAsia="Times New Roman" w:hAnsi="Cambria Math" w:cs="Cambria Math"/>
                <w:color w:val="000000"/>
                <w:sz w:val="20"/>
                <w:szCs w:val="20"/>
                <w:lang w:eastAsia="en-GB"/>
              </w:rPr>
              <w:t>⋯</w:t>
            </w:r>
            <w:r w:rsidRPr="005A5CB5">
              <w:rPr>
                <w:rFonts w:ascii="Arial" w:eastAsia="Times New Roman" w:hAnsi="Arial" w:cs="Arial"/>
                <w:color w:val="000000"/>
                <w:sz w:val="20"/>
                <w:szCs w:val="20"/>
                <w:lang w:eastAsia="en-GB"/>
              </w:rPr>
              <w:t xml:space="preserve"> Silence as a Metaphor for Contemplation and Communication in HCI. Proceedings of the 5th Biennial African Human-Computer Interaction Conference, AfriCHI 2025, 419-423. </w:t>
            </w:r>
            <w:r w:rsidRPr="005A5CB5">
              <w:rPr>
                <w:rFonts w:ascii="Arial" w:eastAsia="Times New Roman" w:hAnsi="Arial" w:cs="Arial"/>
                <w:color w:val="000000"/>
                <w:sz w:val="20"/>
                <w:szCs w:val="20"/>
                <w:lang w:eastAsia="en-GB"/>
              </w:rPr>
              <w:br/>
              <w:t xml:space="preserve">https://doi.org/10.1145/3757232.3757278 </w:t>
            </w:r>
          </w:p>
        </w:tc>
        <w:tc>
          <w:tcPr>
            <w:tcW w:w="940" w:type="dxa"/>
            <w:tcBorders>
              <w:top w:val="nil"/>
              <w:left w:val="nil"/>
              <w:bottom w:val="single" w:sz="4" w:space="0" w:color="auto"/>
              <w:right w:val="single" w:sz="4" w:space="0" w:color="auto"/>
            </w:tcBorders>
            <w:noWrap/>
            <w:vAlign w:val="bottom"/>
            <w:hideMark/>
          </w:tcPr>
          <w:p w14:paraId="79B7F1E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w:t>
            </w:r>
          </w:p>
        </w:tc>
        <w:tc>
          <w:tcPr>
            <w:tcW w:w="1040" w:type="dxa"/>
            <w:tcBorders>
              <w:top w:val="nil"/>
              <w:left w:val="nil"/>
              <w:bottom w:val="single" w:sz="4" w:space="0" w:color="auto"/>
              <w:right w:val="single" w:sz="4" w:space="0" w:color="auto"/>
            </w:tcBorders>
            <w:noWrap/>
            <w:vAlign w:val="bottom"/>
            <w:hideMark/>
          </w:tcPr>
          <w:p w14:paraId="20C744F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17%</w:t>
            </w:r>
          </w:p>
        </w:tc>
        <w:tc>
          <w:tcPr>
            <w:tcW w:w="640" w:type="dxa"/>
            <w:tcBorders>
              <w:top w:val="nil"/>
              <w:left w:val="nil"/>
              <w:bottom w:val="single" w:sz="4" w:space="0" w:color="auto"/>
              <w:right w:val="single" w:sz="4" w:space="0" w:color="auto"/>
            </w:tcBorders>
            <w:noWrap/>
            <w:vAlign w:val="bottom"/>
            <w:hideMark/>
          </w:tcPr>
          <w:p w14:paraId="17ACA34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1.74</w:t>
            </w:r>
          </w:p>
        </w:tc>
      </w:tr>
      <w:tr w:rsidR="005A5CB5" w:rsidRPr="005A5CB5" w14:paraId="1523F455"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34D74633"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Farisco, M., Baldassarre, G., Cartoni, E., Leach, A., Petrovici, M.A., Rosemann, A., Salles, A., Stahl, B., van Albada, S.J. (2024). A method for the ethical analysis of brain-inspired AI. Artificial Intelligence Review, Vol. 57, issue 6, Article 133. </w:t>
            </w:r>
            <w:r w:rsidRPr="005A5CB5">
              <w:rPr>
                <w:rFonts w:ascii="Arial" w:eastAsia="Times New Roman" w:hAnsi="Arial" w:cs="Arial"/>
                <w:color w:val="000000"/>
                <w:sz w:val="20"/>
                <w:szCs w:val="20"/>
                <w:lang w:eastAsia="en-GB"/>
              </w:rPr>
              <w:br/>
              <w:t xml:space="preserve">https://doi.org/10.1007/s10462-024-10769-4 </w:t>
            </w:r>
          </w:p>
        </w:tc>
        <w:tc>
          <w:tcPr>
            <w:tcW w:w="940" w:type="dxa"/>
            <w:tcBorders>
              <w:top w:val="nil"/>
              <w:left w:val="nil"/>
              <w:bottom w:val="single" w:sz="4" w:space="0" w:color="auto"/>
              <w:right w:val="single" w:sz="4" w:space="0" w:color="auto"/>
            </w:tcBorders>
            <w:shd w:val="clear" w:color="000000" w:fill="E7F1F9"/>
            <w:noWrap/>
            <w:vAlign w:val="bottom"/>
            <w:hideMark/>
          </w:tcPr>
          <w:p w14:paraId="41ACDEA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8</w:t>
            </w:r>
          </w:p>
        </w:tc>
        <w:tc>
          <w:tcPr>
            <w:tcW w:w="1040" w:type="dxa"/>
            <w:tcBorders>
              <w:top w:val="nil"/>
              <w:left w:val="nil"/>
              <w:bottom w:val="single" w:sz="4" w:space="0" w:color="auto"/>
              <w:right w:val="single" w:sz="4" w:space="0" w:color="auto"/>
            </w:tcBorders>
            <w:shd w:val="clear" w:color="000000" w:fill="E7F1F9"/>
            <w:noWrap/>
            <w:vAlign w:val="bottom"/>
            <w:hideMark/>
          </w:tcPr>
          <w:p w14:paraId="1FE69B7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16%</w:t>
            </w:r>
          </w:p>
        </w:tc>
        <w:tc>
          <w:tcPr>
            <w:tcW w:w="640" w:type="dxa"/>
            <w:tcBorders>
              <w:top w:val="nil"/>
              <w:left w:val="nil"/>
              <w:bottom w:val="single" w:sz="4" w:space="0" w:color="auto"/>
              <w:right w:val="single" w:sz="4" w:space="0" w:color="auto"/>
            </w:tcBorders>
            <w:shd w:val="clear" w:color="000000" w:fill="E7F1F9"/>
            <w:noWrap/>
            <w:vAlign w:val="bottom"/>
            <w:hideMark/>
          </w:tcPr>
          <w:p w14:paraId="6CE7D6A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1.73</w:t>
            </w:r>
          </w:p>
        </w:tc>
      </w:tr>
      <w:tr w:rsidR="005A5CB5" w:rsidRPr="005A5CB5" w14:paraId="4E242DC7"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1F6124FE"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Albury, C., Webb, H., Stokoe, E., Ziebland, S., Koshiaris, C., Lee, J.J., Aveyard, P. (2023). Relationship Between Clinician Language and the Success of Behavioral Weight Loss Interventions A Mixed-Methods Cohort Study. Annals of Internal Medicine, Vol. 176, issue 11, 1437-1447. </w:t>
            </w:r>
            <w:r w:rsidRPr="005A5CB5">
              <w:rPr>
                <w:rFonts w:ascii="Arial" w:eastAsia="Times New Roman" w:hAnsi="Arial" w:cs="Arial"/>
                <w:color w:val="000000"/>
                <w:sz w:val="20"/>
                <w:szCs w:val="20"/>
                <w:lang w:eastAsia="en-GB"/>
              </w:rPr>
              <w:br/>
              <w:t xml:space="preserve">https://doi.org/10.7326/M22-2360 </w:t>
            </w:r>
          </w:p>
        </w:tc>
        <w:tc>
          <w:tcPr>
            <w:tcW w:w="940" w:type="dxa"/>
            <w:tcBorders>
              <w:top w:val="nil"/>
              <w:left w:val="nil"/>
              <w:bottom w:val="single" w:sz="4" w:space="0" w:color="auto"/>
              <w:right w:val="single" w:sz="4" w:space="0" w:color="auto"/>
            </w:tcBorders>
            <w:noWrap/>
            <w:vAlign w:val="bottom"/>
            <w:hideMark/>
          </w:tcPr>
          <w:p w14:paraId="6CD4DC0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18</w:t>
            </w:r>
          </w:p>
        </w:tc>
        <w:tc>
          <w:tcPr>
            <w:tcW w:w="1040" w:type="dxa"/>
            <w:tcBorders>
              <w:top w:val="nil"/>
              <w:left w:val="nil"/>
              <w:bottom w:val="single" w:sz="4" w:space="0" w:color="auto"/>
              <w:right w:val="single" w:sz="4" w:space="0" w:color="auto"/>
            </w:tcBorders>
            <w:noWrap/>
            <w:vAlign w:val="bottom"/>
            <w:hideMark/>
          </w:tcPr>
          <w:p w14:paraId="3D098B0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16%</w:t>
            </w:r>
          </w:p>
        </w:tc>
        <w:tc>
          <w:tcPr>
            <w:tcW w:w="640" w:type="dxa"/>
            <w:tcBorders>
              <w:top w:val="nil"/>
              <w:left w:val="nil"/>
              <w:bottom w:val="single" w:sz="4" w:space="0" w:color="auto"/>
              <w:right w:val="single" w:sz="4" w:space="0" w:color="auto"/>
            </w:tcBorders>
            <w:noWrap/>
            <w:vAlign w:val="bottom"/>
            <w:hideMark/>
          </w:tcPr>
          <w:p w14:paraId="3228467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1.66</w:t>
            </w:r>
          </w:p>
        </w:tc>
      </w:tr>
      <w:tr w:rsidR="005A5CB5" w:rsidRPr="005A5CB5" w14:paraId="1F773EAE"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5CFD105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Benford, S., Sundnes Løvlie, A., Ryding, K., Rajkowska, P., Bodiaj, E., Paris Darzentas, D., Cameron, H., Spence, J., Egede, J., Spanjevic, B. (2022). Sensitive Pictures: Emotional Interpretation in the Museum. Conference on Human Factors in Computing Systems - Proceedings, Article 455. </w:t>
            </w:r>
            <w:r w:rsidRPr="005A5CB5">
              <w:rPr>
                <w:rFonts w:ascii="Arial" w:eastAsia="Times New Roman" w:hAnsi="Arial" w:cs="Arial"/>
                <w:color w:val="000000"/>
                <w:sz w:val="20"/>
                <w:szCs w:val="20"/>
                <w:lang w:eastAsia="en-GB"/>
              </w:rPr>
              <w:br/>
              <w:t xml:space="preserve">https://doi.org/10.1145/3491102.3502080 </w:t>
            </w:r>
          </w:p>
        </w:tc>
        <w:tc>
          <w:tcPr>
            <w:tcW w:w="940" w:type="dxa"/>
            <w:tcBorders>
              <w:top w:val="nil"/>
              <w:left w:val="nil"/>
              <w:bottom w:val="single" w:sz="4" w:space="0" w:color="auto"/>
              <w:right w:val="single" w:sz="4" w:space="0" w:color="auto"/>
            </w:tcBorders>
            <w:shd w:val="clear" w:color="000000" w:fill="E7F1F9"/>
            <w:noWrap/>
            <w:vAlign w:val="bottom"/>
            <w:hideMark/>
          </w:tcPr>
          <w:p w14:paraId="7369E79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1040" w:type="dxa"/>
            <w:tcBorders>
              <w:top w:val="nil"/>
              <w:left w:val="nil"/>
              <w:bottom w:val="single" w:sz="4" w:space="0" w:color="auto"/>
              <w:right w:val="single" w:sz="4" w:space="0" w:color="auto"/>
            </w:tcBorders>
            <w:shd w:val="clear" w:color="000000" w:fill="E7F1F9"/>
            <w:noWrap/>
            <w:vAlign w:val="bottom"/>
            <w:hideMark/>
          </w:tcPr>
          <w:p w14:paraId="40E7BA2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17%</w:t>
            </w:r>
          </w:p>
        </w:tc>
        <w:tc>
          <w:tcPr>
            <w:tcW w:w="640" w:type="dxa"/>
            <w:tcBorders>
              <w:top w:val="nil"/>
              <w:left w:val="nil"/>
              <w:bottom w:val="single" w:sz="4" w:space="0" w:color="auto"/>
              <w:right w:val="single" w:sz="4" w:space="0" w:color="auto"/>
            </w:tcBorders>
            <w:shd w:val="clear" w:color="000000" w:fill="E7F1F9"/>
            <w:noWrap/>
            <w:vAlign w:val="bottom"/>
            <w:hideMark/>
          </w:tcPr>
          <w:p w14:paraId="14DDE3C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1.65</w:t>
            </w:r>
          </w:p>
        </w:tc>
      </w:tr>
      <w:tr w:rsidR="005A5CB5" w:rsidRPr="005A5CB5" w14:paraId="728A95BE"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3CAC4B57"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Arueyingho, O., Lawrence, D.O., Webb, H. (2024). Navigating Afrocentric Human-Computer Interaction Research: A Scoping Review and Proposition of Afro-Postmodernism for Decolonial Praxis. Conference on Human Factors in Computing Systems - Proceedings, Article 560. </w:t>
            </w:r>
            <w:r w:rsidRPr="005A5CB5">
              <w:rPr>
                <w:rFonts w:ascii="Arial" w:eastAsia="Times New Roman" w:hAnsi="Arial" w:cs="Arial"/>
                <w:color w:val="000000"/>
                <w:sz w:val="20"/>
                <w:szCs w:val="20"/>
                <w:lang w:eastAsia="en-GB"/>
              </w:rPr>
              <w:br/>
              <w:t xml:space="preserve">https://doi.org/10.1145/3613905.3644072 </w:t>
            </w:r>
          </w:p>
        </w:tc>
        <w:tc>
          <w:tcPr>
            <w:tcW w:w="940" w:type="dxa"/>
            <w:tcBorders>
              <w:top w:val="nil"/>
              <w:left w:val="nil"/>
              <w:bottom w:val="single" w:sz="4" w:space="0" w:color="auto"/>
              <w:right w:val="single" w:sz="4" w:space="0" w:color="auto"/>
            </w:tcBorders>
            <w:noWrap/>
            <w:vAlign w:val="bottom"/>
            <w:hideMark/>
          </w:tcPr>
          <w:p w14:paraId="38D30FF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9</w:t>
            </w:r>
          </w:p>
        </w:tc>
        <w:tc>
          <w:tcPr>
            <w:tcW w:w="1040" w:type="dxa"/>
            <w:tcBorders>
              <w:top w:val="nil"/>
              <w:left w:val="nil"/>
              <w:bottom w:val="single" w:sz="4" w:space="0" w:color="auto"/>
              <w:right w:val="single" w:sz="4" w:space="0" w:color="auto"/>
            </w:tcBorders>
            <w:noWrap/>
            <w:vAlign w:val="bottom"/>
            <w:hideMark/>
          </w:tcPr>
          <w:p w14:paraId="1417410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18%</w:t>
            </w:r>
          </w:p>
        </w:tc>
        <w:tc>
          <w:tcPr>
            <w:tcW w:w="640" w:type="dxa"/>
            <w:tcBorders>
              <w:top w:val="nil"/>
              <w:left w:val="nil"/>
              <w:bottom w:val="single" w:sz="4" w:space="0" w:color="auto"/>
              <w:right w:val="single" w:sz="4" w:space="0" w:color="auto"/>
            </w:tcBorders>
            <w:noWrap/>
            <w:vAlign w:val="bottom"/>
            <w:hideMark/>
          </w:tcPr>
          <w:p w14:paraId="5B26976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1.61</w:t>
            </w:r>
          </w:p>
        </w:tc>
      </w:tr>
      <w:tr w:rsidR="005A5CB5" w:rsidRPr="005A5CB5" w14:paraId="15E3E60F"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99F7FA0"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lastRenderedPageBreak/>
              <w:t xml:space="preserve">Ogoh, G., Eke, D., Stahl, B.C. (2026). </w:t>
            </w:r>
            <w:r w:rsidRPr="005A5CB5">
              <w:rPr>
                <w:rFonts w:ascii="Arial" w:eastAsia="Times New Roman" w:hAnsi="Arial" w:cs="Arial"/>
                <w:color w:val="000000"/>
                <w:sz w:val="20"/>
                <w:szCs w:val="20"/>
                <w:lang w:eastAsia="en-GB"/>
              </w:rPr>
              <w:t xml:space="preserve">AI governance in North Africa: an ecosystems approach. Science and Public Policy, Vol. 53, issue 2, 258-276. </w:t>
            </w:r>
            <w:r w:rsidRPr="005A5CB5">
              <w:rPr>
                <w:rFonts w:ascii="Arial" w:eastAsia="Times New Roman" w:hAnsi="Arial" w:cs="Arial"/>
                <w:color w:val="000000"/>
                <w:sz w:val="20"/>
                <w:szCs w:val="20"/>
                <w:lang w:eastAsia="en-GB"/>
              </w:rPr>
              <w:br/>
              <w:t xml:space="preserve">https://doi.org/10.1093/scipol/scag007 </w:t>
            </w:r>
          </w:p>
        </w:tc>
        <w:tc>
          <w:tcPr>
            <w:tcW w:w="940" w:type="dxa"/>
            <w:tcBorders>
              <w:top w:val="nil"/>
              <w:left w:val="nil"/>
              <w:bottom w:val="single" w:sz="4" w:space="0" w:color="auto"/>
              <w:right w:val="single" w:sz="4" w:space="0" w:color="auto"/>
            </w:tcBorders>
            <w:shd w:val="clear" w:color="000000" w:fill="E7F1F9"/>
            <w:noWrap/>
            <w:vAlign w:val="bottom"/>
            <w:hideMark/>
          </w:tcPr>
          <w:p w14:paraId="06F002A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40A29F3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18%</w:t>
            </w:r>
          </w:p>
        </w:tc>
        <w:tc>
          <w:tcPr>
            <w:tcW w:w="640" w:type="dxa"/>
            <w:tcBorders>
              <w:top w:val="nil"/>
              <w:left w:val="nil"/>
              <w:bottom w:val="single" w:sz="4" w:space="0" w:color="auto"/>
              <w:right w:val="single" w:sz="4" w:space="0" w:color="auto"/>
            </w:tcBorders>
            <w:shd w:val="clear" w:color="000000" w:fill="E7F1F9"/>
            <w:noWrap/>
            <w:vAlign w:val="bottom"/>
            <w:hideMark/>
          </w:tcPr>
          <w:p w14:paraId="39C356C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1.57</w:t>
            </w:r>
          </w:p>
        </w:tc>
      </w:tr>
      <w:tr w:rsidR="005A5CB5" w:rsidRPr="005A5CB5" w14:paraId="60D08639"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62FD8CE9"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Ito-Jaeger, S., Perez Vallejos, E., Curran, T., Spors, V., Long, Y., Liguori, A., Warwick, M., Wilson, M., Crawford, P. (2022). Digital video interventions and mental health literacy among young people: a scoping review. Journal of Mental Health, Vol. 31, issue 6, 873-883. </w:t>
            </w:r>
            <w:r w:rsidRPr="005A5CB5">
              <w:rPr>
                <w:rFonts w:ascii="Arial" w:eastAsia="Times New Roman" w:hAnsi="Arial" w:cs="Arial"/>
                <w:color w:val="000000"/>
                <w:sz w:val="20"/>
                <w:szCs w:val="20"/>
                <w:lang w:eastAsia="en-GB"/>
              </w:rPr>
              <w:br/>
              <w:t xml:space="preserve">https://doi.org/10.1080/09638237.2021.1922642 </w:t>
            </w:r>
          </w:p>
        </w:tc>
        <w:tc>
          <w:tcPr>
            <w:tcW w:w="940" w:type="dxa"/>
            <w:tcBorders>
              <w:top w:val="nil"/>
              <w:left w:val="nil"/>
              <w:bottom w:val="single" w:sz="4" w:space="0" w:color="auto"/>
              <w:right w:val="single" w:sz="4" w:space="0" w:color="auto"/>
            </w:tcBorders>
            <w:noWrap/>
            <w:vAlign w:val="bottom"/>
            <w:hideMark/>
          </w:tcPr>
          <w:p w14:paraId="3413C11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54</w:t>
            </w:r>
          </w:p>
        </w:tc>
        <w:tc>
          <w:tcPr>
            <w:tcW w:w="1040" w:type="dxa"/>
            <w:tcBorders>
              <w:top w:val="nil"/>
              <w:left w:val="nil"/>
              <w:bottom w:val="single" w:sz="4" w:space="0" w:color="auto"/>
              <w:right w:val="single" w:sz="4" w:space="0" w:color="auto"/>
            </w:tcBorders>
            <w:noWrap/>
            <w:vAlign w:val="bottom"/>
            <w:hideMark/>
          </w:tcPr>
          <w:p w14:paraId="74E2EE7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18%</w:t>
            </w:r>
          </w:p>
        </w:tc>
        <w:tc>
          <w:tcPr>
            <w:tcW w:w="640" w:type="dxa"/>
            <w:tcBorders>
              <w:top w:val="nil"/>
              <w:left w:val="nil"/>
              <w:bottom w:val="single" w:sz="4" w:space="0" w:color="auto"/>
              <w:right w:val="single" w:sz="4" w:space="0" w:color="auto"/>
            </w:tcBorders>
            <w:noWrap/>
            <w:vAlign w:val="bottom"/>
            <w:hideMark/>
          </w:tcPr>
          <w:p w14:paraId="40E308A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1.57</w:t>
            </w:r>
          </w:p>
        </w:tc>
      </w:tr>
      <w:tr w:rsidR="005A5CB5" w:rsidRPr="005A5CB5" w14:paraId="72C1CC76"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3ABA2D72"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Ito-Jaeger, S., Perez Vallejos, E., Curran, T., Crawford, P. (2022). </w:t>
            </w:r>
            <w:r w:rsidRPr="005A5CB5">
              <w:rPr>
                <w:rFonts w:ascii="Arial" w:eastAsia="Times New Roman" w:hAnsi="Arial" w:cs="Arial"/>
                <w:color w:val="000000"/>
                <w:sz w:val="20"/>
                <w:szCs w:val="20"/>
                <w:lang w:eastAsia="en-GB"/>
              </w:rPr>
              <w:t xml:space="preserve">What's Up With Everyone? A qualitative study on young people's perceptions of cocreated online animations to promote mental health literacy. Health Expectations, Vol. 25, issue 4, 1633-1642. </w:t>
            </w:r>
            <w:r w:rsidRPr="005A5CB5">
              <w:rPr>
                <w:rFonts w:ascii="Arial" w:eastAsia="Times New Roman" w:hAnsi="Arial" w:cs="Arial"/>
                <w:color w:val="000000"/>
                <w:sz w:val="20"/>
                <w:szCs w:val="20"/>
                <w:lang w:eastAsia="en-GB"/>
              </w:rPr>
              <w:br/>
              <w:t xml:space="preserve">https://doi.org/10.1111/hex.13507 </w:t>
            </w:r>
          </w:p>
        </w:tc>
        <w:tc>
          <w:tcPr>
            <w:tcW w:w="940" w:type="dxa"/>
            <w:tcBorders>
              <w:top w:val="nil"/>
              <w:left w:val="nil"/>
              <w:bottom w:val="single" w:sz="4" w:space="0" w:color="auto"/>
              <w:right w:val="single" w:sz="4" w:space="0" w:color="auto"/>
            </w:tcBorders>
            <w:shd w:val="clear" w:color="000000" w:fill="E7F1F9"/>
            <w:noWrap/>
            <w:vAlign w:val="bottom"/>
            <w:hideMark/>
          </w:tcPr>
          <w:p w14:paraId="136E481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19</w:t>
            </w:r>
          </w:p>
        </w:tc>
        <w:tc>
          <w:tcPr>
            <w:tcW w:w="1040" w:type="dxa"/>
            <w:tcBorders>
              <w:top w:val="nil"/>
              <w:left w:val="nil"/>
              <w:bottom w:val="single" w:sz="4" w:space="0" w:color="auto"/>
              <w:right w:val="single" w:sz="4" w:space="0" w:color="auto"/>
            </w:tcBorders>
            <w:shd w:val="clear" w:color="000000" w:fill="E7F1F9"/>
            <w:noWrap/>
            <w:vAlign w:val="bottom"/>
            <w:hideMark/>
          </w:tcPr>
          <w:p w14:paraId="08D0F78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19%</w:t>
            </w:r>
          </w:p>
        </w:tc>
        <w:tc>
          <w:tcPr>
            <w:tcW w:w="640" w:type="dxa"/>
            <w:tcBorders>
              <w:top w:val="nil"/>
              <w:left w:val="nil"/>
              <w:bottom w:val="single" w:sz="4" w:space="0" w:color="auto"/>
              <w:right w:val="single" w:sz="4" w:space="0" w:color="auto"/>
            </w:tcBorders>
            <w:shd w:val="clear" w:color="000000" w:fill="E7F1F9"/>
            <w:noWrap/>
            <w:vAlign w:val="bottom"/>
            <w:hideMark/>
          </w:tcPr>
          <w:p w14:paraId="53B5712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1.46</w:t>
            </w:r>
          </w:p>
        </w:tc>
      </w:tr>
      <w:tr w:rsidR="005A5CB5" w:rsidRPr="005A5CB5" w14:paraId="038891EA"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0FCDC408"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t xml:space="preserve">Ochang, P., Eke, D., Stahl, B.C. (2024). </w:t>
            </w:r>
            <w:r w:rsidRPr="005A5CB5">
              <w:rPr>
                <w:rFonts w:ascii="Arial" w:eastAsia="Times New Roman" w:hAnsi="Arial" w:cs="Arial"/>
                <w:color w:val="000000"/>
                <w:sz w:val="20"/>
                <w:szCs w:val="20"/>
                <w:lang w:eastAsia="en-GB"/>
              </w:rPr>
              <w:t xml:space="preserve">Perceptions on the Ethical and Legal Principles that Influence Global Brain Data Governance. Neuroethics, Vol. 17, issue 2, Article 23. </w:t>
            </w:r>
            <w:r w:rsidRPr="005A5CB5">
              <w:rPr>
                <w:rFonts w:ascii="Arial" w:eastAsia="Times New Roman" w:hAnsi="Arial" w:cs="Arial"/>
                <w:color w:val="000000"/>
                <w:sz w:val="20"/>
                <w:szCs w:val="20"/>
                <w:lang w:eastAsia="en-GB"/>
              </w:rPr>
              <w:br/>
              <w:t xml:space="preserve">https://doi.org/10.1007/s12152-024-09558-1 </w:t>
            </w:r>
          </w:p>
        </w:tc>
        <w:tc>
          <w:tcPr>
            <w:tcW w:w="940" w:type="dxa"/>
            <w:tcBorders>
              <w:top w:val="nil"/>
              <w:left w:val="nil"/>
              <w:bottom w:val="single" w:sz="4" w:space="0" w:color="auto"/>
              <w:right w:val="single" w:sz="4" w:space="0" w:color="auto"/>
            </w:tcBorders>
            <w:noWrap/>
            <w:vAlign w:val="bottom"/>
            <w:hideMark/>
          </w:tcPr>
          <w:p w14:paraId="63E60F7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1040" w:type="dxa"/>
            <w:tcBorders>
              <w:top w:val="nil"/>
              <w:left w:val="nil"/>
              <w:bottom w:val="single" w:sz="4" w:space="0" w:color="auto"/>
              <w:right w:val="single" w:sz="4" w:space="0" w:color="auto"/>
            </w:tcBorders>
            <w:noWrap/>
            <w:vAlign w:val="bottom"/>
            <w:hideMark/>
          </w:tcPr>
          <w:p w14:paraId="0BEB462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22%</w:t>
            </w:r>
          </w:p>
        </w:tc>
        <w:tc>
          <w:tcPr>
            <w:tcW w:w="640" w:type="dxa"/>
            <w:tcBorders>
              <w:top w:val="nil"/>
              <w:left w:val="nil"/>
              <w:bottom w:val="single" w:sz="4" w:space="0" w:color="auto"/>
              <w:right w:val="single" w:sz="4" w:space="0" w:color="auto"/>
            </w:tcBorders>
            <w:noWrap/>
            <w:vAlign w:val="bottom"/>
            <w:hideMark/>
          </w:tcPr>
          <w:p w14:paraId="5BEF39C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1.33</w:t>
            </w:r>
          </w:p>
        </w:tc>
      </w:tr>
      <w:tr w:rsidR="005A5CB5" w:rsidRPr="005A5CB5" w14:paraId="0D1AFDBA"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295272D5"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t xml:space="preserve">Ochang, P., Eke, D., Stahl, B.C. (2024). </w:t>
            </w:r>
            <w:r w:rsidRPr="005A5CB5">
              <w:rPr>
                <w:rFonts w:ascii="Arial" w:eastAsia="Times New Roman" w:hAnsi="Arial" w:cs="Arial"/>
                <w:color w:val="000000"/>
                <w:sz w:val="20"/>
                <w:szCs w:val="20"/>
                <w:lang w:eastAsia="en-GB"/>
              </w:rPr>
              <w:t xml:space="preserve">Perceptions on the Ethical and Legal Principles that Influence Global Brain Data Governance. Neuroethics, Vol. 17, issue 2, Article 23. </w:t>
            </w:r>
            <w:r w:rsidRPr="005A5CB5">
              <w:rPr>
                <w:rFonts w:ascii="Arial" w:eastAsia="Times New Roman" w:hAnsi="Arial" w:cs="Arial"/>
                <w:color w:val="000000"/>
                <w:sz w:val="20"/>
                <w:szCs w:val="20"/>
                <w:lang w:eastAsia="en-GB"/>
              </w:rPr>
              <w:br/>
              <w:t xml:space="preserve">https://doi.org/10.1007/s12152-024-09558-1 </w:t>
            </w:r>
          </w:p>
        </w:tc>
        <w:tc>
          <w:tcPr>
            <w:tcW w:w="940" w:type="dxa"/>
            <w:tcBorders>
              <w:top w:val="nil"/>
              <w:left w:val="nil"/>
              <w:bottom w:val="single" w:sz="4" w:space="0" w:color="auto"/>
              <w:right w:val="single" w:sz="4" w:space="0" w:color="auto"/>
            </w:tcBorders>
            <w:shd w:val="clear" w:color="000000" w:fill="E7F1F9"/>
            <w:noWrap/>
            <w:vAlign w:val="bottom"/>
            <w:hideMark/>
          </w:tcPr>
          <w:p w14:paraId="5B0C316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1040" w:type="dxa"/>
            <w:tcBorders>
              <w:top w:val="nil"/>
              <w:left w:val="nil"/>
              <w:bottom w:val="single" w:sz="4" w:space="0" w:color="auto"/>
              <w:right w:val="single" w:sz="4" w:space="0" w:color="auto"/>
            </w:tcBorders>
            <w:shd w:val="clear" w:color="000000" w:fill="E7F1F9"/>
            <w:noWrap/>
            <w:vAlign w:val="bottom"/>
            <w:hideMark/>
          </w:tcPr>
          <w:p w14:paraId="7DCFA54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22%</w:t>
            </w:r>
          </w:p>
        </w:tc>
        <w:tc>
          <w:tcPr>
            <w:tcW w:w="640" w:type="dxa"/>
            <w:tcBorders>
              <w:top w:val="nil"/>
              <w:left w:val="nil"/>
              <w:bottom w:val="single" w:sz="4" w:space="0" w:color="auto"/>
              <w:right w:val="single" w:sz="4" w:space="0" w:color="auto"/>
            </w:tcBorders>
            <w:shd w:val="clear" w:color="000000" w:fill="E7F1F9"/>
            <w:noWrap/>
            <w:vAlign w:val="bottom"/>
            <w:hideMark/>
          </w:tcPr>
          <w:p w14:paraId="2203F6A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1.31</w:t>
            </w:r>
          </w:p>
        </w:tc>
      </w:tr>
      <w:tr w:rsidR="005A5CB5" w:rsidRPr="005A5CB5" w14:paraId="7E564497"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5F8488DB"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Benford, S., Hazzard, A., Vear, C., Webb, H., Chamberlain, A., Greenhalgh, C., Ramchurn, R., Marshall, J. (2023). Five Provocations for a More Creative TAS. ACM International Conference Proceeding Series, Article 14. </w:t>
            </w:r>
            <w:r w:rsidRPr="005A5CB5">
              <w:rPr>
                <w:rFonts w:ascii="Arial" w:eastAsia="Times New Roman" w:hAnsi="Arial" w:cs="Arial"/>
                <w:color w:val="000000"/>
                <w:sz w:val="20"/>
                <w:szCs w:val="20"/>
                <w:lang w:eastAsia="en-GB"/>
              </w:rPr>
              <w:br/>
              <w:t xml:space="preserve">https://doi.org/10.1145/3597512.3599709 </w:t>
            </w:r>
          </w:p>
        </w:tc>
        <w:tc>
          <w:tcPr>
            <w:tcW w:w="940" w:type="dxa"/>
            <w:tcBorders>
              <w:top w:val="nil"/>
              <w:left w:val="nil"/>
              <w:bottom w:val="single" w:sz="4" w:space="0" w:color="auto"/>
              <w:right w:val="single" w:sz="4" w:space="0" w:color="auto"/>
            </w:tcBorders>
            <w:noWrap/>
            <w:vAlign w:val="bottom"/>
            <w:hideMark/>
          </w:tcPr>
          <w:p w14:paraId="7A8333E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9</w:t>
            </w:r>
          </w:p>
        </w:tc>
        <w:tc>
          <w:tcPr>
            <w:tcW w:w="1040" w:type="dxa"/>
            <w:tcBorders>
              <w:top w:val="nil"/>
              <w:left w:val="nil"/>
              <w:bottom w:val="single" w:sz="4" w:space="0" w:color="auto"/>
              <w:right w:val="single" w:sz="4" w:space="0" w:color="auto"/>
            </w:tcBorders>
            <w:noWrap/>
            <w:vAlign w:val="bottom"/>
            <w:hideMark/>
          </w:tcPr>
          <w:p w14:paraId="166B899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noWrap/>
            <w:vAlign w:val="bottom"/>
            <w:hideMark/>
          </w:tcPr>
          <w:p w14:paraId="368A9A8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1.27</w:t>
            </w:r>
          </w:p>
        </w:tc>
      </w:tr>
      <w:tr w:rsidR="005A5CB5" w:rsidRPr="005A5CB5" w14:paraId="7C17EC08"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E924D1D"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Abam, E.B., Webb, H., Dowthwaite, L., Triguero, I. (2025). </w:t>
            </w:r>
            <w:r w:rsidRPr="005A5CB5">
              <w:rPr>
                <w:rFonts w:ascii="Arial" w:eastAsia="Times New Roman" w:hAnsi="Arial" w:cs="Arial"/>
                <w:color w:val="000000"/>
                <w:sz w:val="20"/>
                <w:szCs w:val="20"/>
                <w:lang w:eastAsia="en-GB"/>
              </w:rPr>
              <w:t xml:space="preserve">Human Perceptions of Novel Visual and Non-Visual Explanations in High-Stakes Decision-Making Domains. Communications in Computer and Information Science, Vol. 2319, 3-13. </w:t>
            </w:r>
            <w:r w:rsidRPr="005A5CB5">
              <w:rPr>
                <w:rFonts w:ascii="Arial" w:eastAsia="Times New Roman" w:hAnsi="Arial" w:cs="Arial"/>
                <w:color w:val="000000"/>
                <w:sz w:val="20"/>
                <w:szCs w:val="20"/>
                <w:lang w:eastAsia="en-GB"/>
              </w:rPr>
              <w:br/>
              <w:t xml:space="preserve">https://doi.org/10.1007/978-3-031-78516-0_1 </w:t>
            </w:r>
          </w:p>
        </w:tc>
        <w:tc>
          <w:tcPr>
            <w:tcW w:w="940" w:type="dxa"/>
            <w:tcBorders>
              <w:top w:val="nil"/>
              <w:left w:val="nil"/>
              <w:bottom w:val="single" w:sz="4" w:space="0" w:color="auto"/>
              <w:right w:val="single" w:sz="4" w:space="0" w:color="auto"/>
            </w:tcBorders>
            <w:shd w:val="clear" w:color="000000" w:fill="E7F1F9"/>
            <w:noWrap/>
            <w:vAlign w:val="bottom"/>
            <w:hideMark/>
          </w:tcPr>
          <w:p w14:paraId="5DA53FE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2791701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24%</w:t>
            </w:r>
          </w:p>
        </w:tc>
        <w:tc>
          <w:tcPr>
            <w:tcW w:w="640" w:type="dxa"/>
            <w:tcBorders>
              <w:top w:val="nil"/>
              <w:left w:val="nil"/>
              <w:bottom w:val="single" w:sz="4" w:space="0" w:color="auto"/>
              <w:right w:val="single" w:sz="4" w:space="0" w:color="auto"/>
            </w:tcBorders>
            <w:shd w:val="clear" w:color="000000" w:fill="E7F1F9"/>
            <w:noWrap/>
            <w:vAlign w:val="bottom"/>
            <w:hideMark/>
          </w:tcPr>
          <w:p w14:paraId="1186D14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1.22</w:t>
            </w:r>
          </w:p>
        </w:tc>
      </w:tr>
      <w:tr w:rsidR="005A5CB5" w:rsidRPr="005A5CB5" w14:paraId="7A9E509B"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3CC6DB2E"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Goldblatt, R., Holz, N., Tate, G.W., Sherman, K., Ghebremicael, S., Bhuyan, S.S., Al-Ajlouni, Y.A., Santillanes, S., Araya, G., Abad, S., Herting, M.M., Thompson, W.K., Thapaliya, B., Sapkota, R., Xu, J., Liu, J., Ogoh, G., Stahl, B., Young, A., Desrivières, S., Clinton, N., Thompson, P., Calhoun, V., Chang, X., Xia, Y., Dai, Y., Gong, Y., Jia, T., Renner, P., Hese, S., Giner, A., Sanchez, M., Alvarez, E., Spanlang, B., Pearmund, C., Athanasiadis, A.-P., Otten, L., Pitel, S., Petkoski, S., Jirsa, V., Schmitt, K., Wilbertz, J., Boye, M., Sommer, P., Heilmann-Heimbach, S., Miller, A., Hoffmann, P., Claus, I., Forstner, A.J., Nöthen, M.M., Pastor, A., Gallego, J., Eiroa-Orosa, F.J., Viapiana, G.F., Slater, M., Marr, L., Novarino, G., Bernas, A., Marquant, A., Böttger, S.J., Tschorn, M., Rapp, M., Kjelkenes, R., Fernández-Cabello, S., Ask, H., van der Meer, D., Westlye, L.T., Andreassen, O.A., Siehl, S., Nees, F., Jansone, K., Christmann, N., Stringaris, A., Schwarz, E., Holz, N., Tost, H., Meyer-Lindenberg, A., Banaschewski, T., Schepanski, K., Schütz, T., Taron, U.-H., Eils, R., Hitchen, E., Jentsch, M., Neidhart, M., Serin, E., Vaidya, N., Lett, T., Polemiti, E., Twardziok, S., Ralser, M., Heinz, A., Walter, H., Schumann, G., Schumann, G., Calhoun, V.D. (2024). Linking neuroimaging and mental health data from the ABCD Study to UrbanSat measurements of macro environmental factors. Nature Mental Health, Vol. 2, issue 11, 1285-1297, Article 1. </w:t>
            </w:r>
            <w:r w:rsidRPr="005A5CB5">
              <w:rPr>
                <w:rFonts w:ascii="Arial" w:eastAsia="Times New Roman" w:hAnsi="Arial" w:cs="Arial"/>
                <w:color w:val="000000"/>
                <w:sz w:val="20"/>
                <w:szCs w:val="20"/>
                <w:lang w:eastAsia="en-GB"/>
              </w:rPr>
              <w:br/>
              <w:t xml:space="preserve">https://doi.org/10.1038/s44220-024-00318-x </w:t>
            </w:r>
          </w:p>
        </w:tc>
        <w:tc>
          <w:tcPr>
            <w:tcW w:w="940" w:type="dxa"/>
            <w:tcBorders>
              <w:top w:val="nil"/>
              <w:left w:val="nil"/>
              <w:bottom w:val="single" w:sz="4" w:space="0" w:color="auto"/>
              <w:right w:val="single" w:sz="4" w:space="0" w:color="auto"/>
            </w:tcBorders>
            <w:noWrap/>
            <w:vAlign w:val="bottom"/>
            <w:hideMark/>
          </w:tcPr>
          <w:p w14:paraId="33D3395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9</w:t>
            </w:r>
          </w:p>
        </w:tc>
        <w:tc>
          <w:tcPr>
            <w:tcW w:w="1040" w:type="dxa"/>
            <w:tcBorders>
              <w:top w:val="nil"/>
              <w:left w:val="nil"/>
              <w:bottom w:val="single" w:sz="4" w:space="0" w:color="auto"/>
              <w:right w:val="single" w:sz="4" w:space="0" w:color="auto"/>
            </w:tcBorders>
            <w:noWrap/>
            <w:vAlign w:val="bottom"/>
            <w:hideMark/>
          </w:tcPr>
          <w:p w14:paraId="494ACED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24%</w:t>
            </w:r>
          </w:p>
        </w:tc>
        <w:tc>
          <w:tcPr>
            <w:tcW w:w="640" w:type="dxa"/>
            <w:tcBorders>
              <w:top w:val="nil"/>
              <w:left w:val="nil"/>
              <w:bottom w:val="single" w:sz="4" w:space="0" w:color="auto"/>
              <w:right w:val="single" w:sz="4" w:space="0" w:color="auto"/>
            </w:tcBorders>
            <w:noWrap/>
            <w:vAlign w:val="bottom"/>
            <w:hideMark/>
          </w:tcPr>
          <w:p w14:paraId="55ECDB1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1.22</w:t>
            </w:r>
          </w:p>
        </w:tc>
      </w:tr>
      <w:tr w:rsidR="005A5CB5" w:rsidRPr="005A5CB5" w14:paraId="29B474E4"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2687342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Cameron, H.R., Castle-Green, S., Chughtai, M., Dowthwaite, L., Kucukyilmaz, A., Maior, H.A., Ngo, V., Schneiders, E., Stahl, B.C. (2024). A Taxonomy of Domestic Robot Failure Outcomes: Understanding the impact of failure on trustworthiness of domestic robots. ACM International Conference Proceeding Series, Article 7. </w:t>
            </w:r>
            <w:r w:rsidRPr="005A5CB5">
              <w:rPr>
                <w:rFonts w:ascii="Arial" w:eastAsia="Times New Roman" w:hAnsi="Arial" w:cs="Arial"/>
                <w:color w:val="000000"/>
                <w:sz w:val="20"/>
                <w:szCs w:val="20"/>
                <w:lang w:eastAsia="en-GB"/>
              </w:rPr>
              <w:br/>
              <w:t xml:space="preserve">https://doi.org/10.1145/3686038.3686050 </w:t>
            </w:r>
          </w:p>
        </w:tc>
        <w:tc>
          <w:tcPr>
            <w:tcW w:w="940" w:type="dxa"/>
            <w:tcBorders>
              <w:top w:val="nil"/>
              <w:left w:val="nil"/>
              <w:bottom w:val="single" w:sz="4" w:space="0" w:color="auto"/>
              <w:right w:val="single" w:sz="4" w:space="0" w:color="auto"/>
            </w:tcBorders>
            <w:shd w:val="clear" w:color="000000" w:fill="E7F1F9"/>
            <w:noWrap/>
            <w:vAlign w:val="bottom"/>
            <w:hideMark/>
          </w:tcPr>
          <w:p w14:paraId="2BE9BBE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1040" w:type="dxa"/>
            <w:tcBorders>
              <w:top w:val="nil"/>
              <w:left w:val="nil"/>
              <w:bottom w:val="single" w:sz="4" w:space="0" w:color="auto"/>
              <w:right w:val="single" w:sz="4" w:space="0" w:color="auto"/>
            </w:tcBorders>
            <w:shd w:val="clear" w:color="000000" w:fill="E7F1F9"/>
            <w:noWrap/>
            <w:vAlign w:val="bottom"/>
            <w:hideMark/>
          </w:tcPr>
          <w:p w14:paraId="40D9612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25%</w:t>
            </w:r>
          </w:p>
        </w:tc>
        <w:tc>
          <w:tcPr>
            <w:tcW w:w="640" w:type="dxa"/>
            <w:tcBorders>
              <w:top w:val="nil"/>
              <w:left w:val="nil"/>
              <w:bottom w:val="single" w:sz="4" w:space="0" w:color="auto"/>
              <w:right w:val="single" w:sz="4" w:space="0" w:color="auto"/>
            </w:tcBorders>
            <w:shd w:val="clear" w:color="000000" w:fill="E7F1F9"/>
            <w:noWrap/>
            <w:vAlign w:val="bottom"/>
            <w:hideMark/>
          </w:tcPr>
          <w:p w14:paraId="6E72159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1.17</w:t>
            </w:r>
          </w:p>
        </w:tc>
      </w:tr>
      <w:tr w:rsidR="005A5CB5" w:rsidRPr="005A5CB5" w14:paraId="7B11ED72"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0AF519A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lastRenderedPageBreak/>
              <w:t xml:space="preserve">Schumann, G., Andreassen, O.A., Banaschewski, T., Calhoun, V.D., Clinton, N., Desrivieres, S., Brandlistuen, R.E., Feng, J., Hese, S., Hitchen, E., Hoffmann, P., Jia, T., Jirsa, V., Marquand, A.F., Nees, F., Nöthen, M.M., Novarino, G., Polemiti, E., Ralser, M., Rapp, M., Schepanski, K., Schikowski, T., Slater, M., Sommer, P., Stahl, B.C., Thompson, P.M., Twardziok, S., Van Der Meer, D., Walter, H., Westlye, L. (2023). Addressing Global Environmental Challenges to Mental Health Using Population Neuroscience: A Review. JAMA Psychiatry, Vol. 80, issue 10, 1066-1074. </w:t>
            </w:r>
            <w:r w:rsidRPr="005A5CB5">
              <w:rPr>
                <w:rFonts w:ascii="Arial" w:eastAsia="Times New Roman" w:hAnsi="Arial" w:cs="Arial"/>
                <w:color w:val="000000"/>
                <w:sz w:val="20"/>
                <w:szCs w:val="20"/>
                <w:lang w:eastAsia="en-GB"/>
              </w:rPr>
              <w:br/>
              <w:t xml:space="preserve">https://doi.org/10.1001/jamapsychiatry.2023.2996 </w:t>
            </w:r>
          </w:p>
        </w:tc>
        <w:tc>
          <w:tcPr>
            <w:tcW w:w="940" w:type="dxa"/>
            <w:tcBorders>
              <w:top w:val="nil"/>
              <w:left w:val="nil"/>
              <w:bottom w:val="single" w:sz="4" w:space="0" w:color="auto"/>
              <w:right w:val="single" w:sz="4" w:space="0" w:color="auto"/>
            </w:tcBorders>
            <w:noWrap/>
            <w:vAlign w:val="bottom"/>
            <w:hideMark/>
          </w:tcPr>
          <w:p w14:paraId="77E713A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24</w:t>
            </w:r>
          </w:p>
        </w:tc>
        <w:tc>
          <w:tcPr>
            <w:tcW w:w="1040" w:type="dxa"/>
            <w:tcBorders>
              <w:top w:val="nil"/>
              <w:left w:val="nil"/>
              <w:bottom w:val="single" w:sz="4" w:space="0" w:color="auto"/>
              <w:right w:val="single" w:sz="4" w:space="0" w:color="auto"/>
            </w:tcBorders>
            <w:noWrap/>
            <w:vAlign w:val="bottom"/>
            <w:hideMark/>
          </w:tcPr>
          <w:p w14:paraId="76EA000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25%</w:t>
            </w:r>
          </w:p>
        </w:tc>
        <w:tc>
          <w:tcPr>
            <w:tcW w:w="640" w:type="dxa"/>
            <w:tcBorders>
              <w:top w:val="nil"/>
              <w:left w:val="nil"/>
              <w:bottom w:val="single" w:sz="4" w:space="0" w:color="auto"/>
              <w:right w:val="single" w:sz="4" w:space="0" w:color="auto"/>
            </w:tcBorders>
            <w:noWrap/>
            <w:vAlign w:val="bottom"/>
            <w:hideMark/>
          </w:tcPr>
          <w:p w14:paraId="0A0EF67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1.15</w:t>
            </w:r>
          </w:p>
        </w:tc>
      </w:tr>
      <w:tr w:rsidR="005A5CB5" w:rsidRPr="005A5CB5" w14:paraId="189B660B"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79CF33C9"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Aucouturier, E., Lekstutiene, J., Lindemann, T., Maia, M., Marušić, A., Mijatović, A., Naserianhanzaei, E., Ogoh, G., Resseguier, A., Spyrakou, E. (2025). Knowledge needs of research ethics committees for the integration of ethics in research and technology development. Journal of Responsible Innovation, Vol. 12, issue 1, Article 2466904. </w:t>
            </w:r>
            <w:r w:rsidRPr="005A5CB5">
              <w:rPr>
                <w:rFonts w:ascii="Arial" w:eastAsia="Times New Roman" w:hAnsi="Arial" w:cs="Arial"/>
                <w:color w:val="000000"/>
                <w:sz w:val="20"/>
                <w:szCs w:val="20"/>
                <w:lang w:eastAsia="en-GB"/>
              </w:rPr>
              <w:br/>
              <w:t xml:space="preserve">https://doi.org/10.1080/23299460.2025.2466904 </w:t>
            </w:r>
          </w:p>
        </w:tc>
        <w:tc>
          <w:tcPr>
            <w:tcW w:w="940" w:type="dxa"/>
            <w:tcBorders>
              <w:top w:val="nil"/>
              <w:left w:val="nil"/>
              <w:bottom w:val="single" w:sz="4" w:space="0" w:color="auto"/>
              <w:right w:val="single" w:sz="4" w:space="0" w:color="auto"/>
            </w:tcBorders>
            <w:shd w:val="clear" w:color="000000" w:fill="E7F1F9"/>
            <w:noWrap/>
            <w:vAlign w:val="bottom"/>
            <w:hideMark/>
          </w:tcPr>
          <w:p w14:paraId="1D028C2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1040" w:type="dxa"/>
            <w:tcBorders>
              <w:top w:val="nil"/>
              <w:left w:val="nil"/>
              <w:bottom w:val="single" w:sz="4" w:space="0" w:color="auto"/>
              <w:right w:val="single" w:sz="4" w:space="0" w:color="auto"/>
            </w:tcBorders>
            <w:shd w:val="clear" w:color="000000" w:fill="E7F1F9"/>
            <w:noWrap/>
            <w:vAlign w:val="bottom"/>
            <w:hideMark/>
          </w:tcPr>
          <w:p w14:paraId="05C7577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26%</w:t>
            </w:r>
          </w:p>
        </w:tc>
        <w:tc>
          <w:tcPr>
            <w:tcW w:w="640" w:type="dxa"/>
            <w:tcBorders>
              <w:top w:val="nil"/>
              <w:left w:val="nil"/>
              <w:bottom w:val="single" w:sz="4" w:space="0" w:color="auto"/>
              <w:right w:val="single" w:sz="4" w:space="0" w:color="auto"/>
            </w:tcBorders>
            <w:shd w:val="clear" w:color="000000" w:fill="E7F1F9"/>
            <w:noWrap/>
            <w:vAlign w:val="bottom"/>
            <w:hideMark/>
          </w:tcPr>
          <w:p w14:paraId="4B73128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1.1</w:t>
            </w:r>
          </w:p>
        </w:tc>
      </w:tr>
      <w:tr w:rsidR="005A5CB5" w:rsidRPr="005A5CB5" w14:paraId="468DB18D"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1CA67E07"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(2025). The Ethics of Data and Its Governance: A Discourse Theoretical Approach. Information (Switzerland), Vol. 16, issue 6, Article 497. </w:t>
            </w:r>
            <w:r w:rsidRPr="005A5CB5">
              <w:rPr>
                <w:rFonts w:ascii="Arial" w:eastAsia="Times New Roman" w:hAnsi="Arial" w:cs="Arial"/>
                <w:color w:val="000000"/>
                <w:sz w:val="20"/>
                <w:szCs w:val="20"/>
                <w:lang w:eastAsia="en-GB"/>
              </w:rPr>
              <w:br/>
              <w:t xml:space="preserve">https://doi.org/10.3390/info16060497 </w:t>
            </w:r>
          </w:p>
        </w:tc>
        <w:tc>
          <w:tcPr>
            <w:tcW w:w="940" w:type="dxa"/>
            <w:tcBorders>
              <w:top w:val="nil"/>
              <w:left w:val="nil"/>
              <w:bottom w:val="single" w:sz="4" w:space="0" w:color="auto"/>
              <w:right w:val="single" w:sz="4" w:space="0" w:color="auto"/>
            </w:tcBorders>
            <w:noWrap/>
            <w:vAlign w:val="bottom"/>
            <w:hideMark/>
          </w:tcPr>
          <w:p w14:paraId="3A3D97B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1040" w:type="dxa"/>
            <w:tcBorders>
              <w:top w:val="nil"/>
              <w:left w:val="nil"/>
              <w:bottom w:val="single" w:sz="4" w:space="0" w:color="auto"/>
              <w:right w:val="single" w:sz="4" w:space="0" w:color="auto"/>
            </w:tcBorders>
            <w:noWrap/>
            <w:vAlign w:val="bottom"/>
            <w:hideMark/>
          </w:tcPr>
          <w:p w14:paraId="67F1A0F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27%</w:t>
            </w:r>
          </w:p>
        </w:tc>
        <w:tc>
          <w:tcPr>
            <w:tcW w:w="640" w:type="dxa"/>
            <w:tcBorders>
              <w:top w:val="nil"/>
              <w:left w:val="nil"/>
              <w:bottom w:val="single" w:sz="4" w:space="0" w:color="auto"/>
              <w:right w:val="single" w:sz="4" w:space="0" w:color="auto"/>
            </w:tcBorders>
            <w:noWrap/>
            <w:vAlign w:val="bottom"/>
            <w:hideMark/>
          </w:tcPr>
          <w:p w14:paraId="3BB915F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1.09</w:t>
            </w:r>
          </w:p>
        </w:tc>
      </w:tr>
      <w:tr w:rsidR="005A5CB5" w:rsidRPr="005A5CB5" w14:paraId="20311DDC"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4E146DD"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Wogu, E., Ogoh, G., Filima, P., Nsaanee, B., Caron, B., Pestilli, F., Eke, D. (2025). FAIR African brain data: challenges and opportunities. Frontiers in Neuroinformatics , Vol. 19, Article 1530445. </w:t>
            </w:r>
            <w:r w:rsidRPr="005A5CB5">
              <w:rPr>
                <w:rFonts w:ascii="Arial" w:eastAsia="Times New Roman" w:hAnsi="Arial" w:cs="Arial"/>
                <w:color w:val="000000"/>
                <w:sz w:val="20"/>
                <w:szCs w:val="20"/>
                <w:lang w:eastAsia="en-GB"/>
              </w:rPr>
              <w:br/>
              <w:t xml:space="preserve">https://doi.org/10.3389/fninf.2025.1530445 </w:t>
            </w:r>
          </w:p>
        </w:tc>
        <w:tc>
          <w:tcPr>
            <w:tcW w:w="940" w:type="dxa"/>
            <w:tcBorders>
              <w:top w:val="nil"/>
              <w:left w:val="nil"/>
              <w:bottom w:val="single" w:sz="4" w:space="0" w:color="auto"/>
              <w:right w:val="single" w:sz="4" w:space="0" w:color="auto"/>
            </w:tcBorders>
            <w:shd w:val="clear" w:color="000000" w:fill="E7F1F9"/>
            <w:noWrap/>
            <w:vAlign w:val="bottom"/>
            <w:hideMark/>
          </w:tcPr>
          <w:p w14:paraId="1168618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1040" w:type="dxa"/>
            <w:tcBorders>
              <w:top w:val="nil"/>
              <w:left w:val="nil"/>
              <w:bottom w:val="single" w:sz="4" w:space="0" w:color="auto"/>
              <w:right w:val="single" w:sz="4" w:space="0" w:color="auto"/>
            </w:tcBorders>
            <w:shd w:val="clear" w:color="000000" w:fill="E7F1F9"/>
            <w:noWrap/>
            <w:vAlign w:val="bottom"/>
            <w:hideMark/>
          </w:tcPr>
          <w:p w14:paraId="6C73532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29%</w:t>
            </w:r>
          </w:p>
        </w:tc>
        <w:tc>
          <w:tcPr>
            <w:tcW w:w="640" w:type="dxa"/>
            <w:tcBorders>
              <w:top w:val="nil"/>
              <w:left w:val="nil"/>
              <w:bottom w:val="single" w:sz="4" w:space="0" w:color="auto"/>
              <w:right w:val="single" w:sz="4" w:space="0" w:color="auto"/>
            </w:tcBorders>
            <w:shd w:val="clear" w:color="000000" w:fill="E7F1F9"/>
            <w:noWrap/>
            <w:vAlign w:val="bottom"/>
            <w:hideMark/>
          </w:tcPr>
          <w:p w14:paraId="1F4B20A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0.98</w:t>
            </w:r>
          </w:p>
        </w:tc>
      </w:tr>
      <w:tr w:rsidR="005A5CB5" w:rsidRPr="005A5CB5" w14:paraId="09DB3CF6"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17533D51"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Eke, D. (2024). Ethics and Governance of Neurotechnology in Africa: Lessons From AI. JMIR Neurotechnology, Vol. 3, Article e56665. </w:t>
            </w:r>
            <w:r w:rsidRPr="005A5CB5">
              <w:rPr>
                <w:rFonts w:ascii="Arial" w:eastAsia="Times New Roman" w:hAnsi="Arial" w:cs="Arial"/>
                <w:color w:val="000000"/>
                <w:sz w:val="20"/>
                <w:szCs w:val="20"/>
                <w:lang w:eastAsia="en-GB"/>
              </w:rPr>
              <w:br/>
              <w:t xml:space="preserve">https://doi.org/10.2196/56665 </w:t>
            </w:r>
          </w:p>
        </w:tc>
        <w:tc>
          <w:tcPr>
            <w:tcW w:w="940" w:type="dxa"/>
            <w:tcBorders>
              <w:top w:val="nil"/>
              <w:left w:val="nil"/>
              <w:bottom w:val="single" w:sz="4" w:space="0" w:color="auto"/>
              <w:right w:val="single" w:sz="4" w:space="0" w:color="auto"/>
            </w:tcBorders>
            <w:noWrap/>
            <w:vAlign w:val="bottom"/>
            <w:hideMark/>
          </w:tcPr>
          <w:p w14:paraId="6F640F5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w:t>
            </w:r>
          </w:p>
        </w:tc>
        <w:tc>
          <w:tcPr>
            <w:tcW w:w="1040" w:type="dxa"/>
            <w:tcBorders>
              <w:top w:val="nil"/>
              <w:left w:val="nil"/>
              <w:bottom w:val="single" w:sz="4" w:space="0" w:color="auto"/>
              <w:right w:val="single" w:sz="4" w:space="0" w:color="auto"/>
            </w:tcBorders>
            <w:noWrap/>
            <w:vAlign w:val="bottom"/>
            <w:hideMark/>
          </w:tcPr>
          <w:p w14:paraId="6CAD37F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31%</w:t>
            </w:r>
          </w:p>
        </w:tc>
        <w:tc>
          <w:tcPr>
            <w:tcW w:w="640" w:type="dxa"/>
            <w:tcBorders>
              <w:top w:val="nil"/>
              <w:left w:val="nil"/>
              <w:bottom w:val="single" w:sz="4" w:space="0" w:color="auto"/>
              <w:right w:val="single" w:sz="4" w:space="0" w:color="auto"/>
            </w:tcBorders>
            <w:noWrap/>
            <w:vAlign w:val="bottom"/>
            <w:hideMark/>
          </w:tcPr>
          <w:p w14:paraId="4C4839B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0.96</w:t>
            </w:r>
          </w:p>
        </w:tc>
      </w:tr>
      <w:tr w:rsidR="005A5CB5" w:rsidRPr="005A5CB5" w14:paraId="2F4FC9F6"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3ABE592C"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Avila, J.P.M., Boudouraki, A., Cameron, H.R., Reyes-Cruz, G., Spors, V., Vidal, L.T., Windlin, C., Elmimouni, H., Read, J., Rode, J. (2025). Playing with Telepresence Robots for Design Speculation. DIS 2025 - Companion Proceedings of the 2025 ACM Designing Interactive Systems Conference: Designing for a Sustainable Ocean, 11-15. </w:t>
            </w:r>
            <w:r w:rsidRPr="005A5CB5">
              <w:rPr>
                <w:rFonts w:ascii="Arial" w:eastAsia="Times New Roman" w:hAnsi="Arial" w:cs="Arial"/>
                <w:color w:val="000000"/>
                <w:sz w:val="20"/>
                <w:szCs w:val="20"/>
                <w:lang w:eastAsia="en-GB"/>
              </w:rPr>
              <w:br/>
              <w:t xml:space="preserve">https://doi.org/10.1145/3715668.3734184 </w:t>
            </w:r>
          </w:p>
        </w:tc>
        <w:tc>
          <w:tcPr>
            <w:tcW w:w="940" w:type="dxa"/>
            <w:tcBorders>
              <w:top w:val="nil"/>
              <w:left w:val="nil"/>
              <w:bottom w:val="single" w:sz="4" w:space="0" w:color="auto"/>
              <w:right w:val="single" w:sz="4" w:space="0" w:color="auto"/>
            </w:tcBorders>
            <w:shd w:val="clear" w:color="000000" w:fill="E7F1F9"/>
            <w:noWrap/>
            <w:vAlign w:val="bottom"/>
            <w:hideMark/>
          </w:tcPr>
          <w:p w14:paraId="336FC27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6184A5D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30%</w:t>
            </w:r>
          </w:p>
        </w:tc>
        <w:tc>
          <w:tcPr>
            <w:tcW w:w="640" w:type="dxa"/>
            <w:tcBorders>
              <w:top w:val="nil"/>
              <w:left w:val="nil"/>
              <w:bottom w:val="single" w:sz="4" w:space="0" w:color="auto"/>
              <w:right w:val="single" w:sz="4" w:space="0" w:color="auto"/>
            </w:tcBorders>
            <w:shd w:val="clear" w:color="000000" w:fill="E7F1F9"/>
            <w:noWrap/>
            <w:vAlign w:val="bottom"/>
            <w:hideMark/>
          </w:tcPr>
          <w:p w14:paraId="38DA71E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0.94</w:t>
            </w:r>
          </w:p>
        </w:tc>
      </w:tr>
      <w:tr w:rsidR="005A5CB5" w:rsidRPr="005A5CB5" w14:paraId="3E67C6DA"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303BA8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Ong, Z.X., Dowthwaite, L., Perez Vallejos, E., Rawsthorne, M., Long, Y. (2021). Measuring Online Wellbeing: A Scoping Review of Subjective Wellbeing Measures. Frontiers in Psychology, Vol. 12, Article 616637. </w:t>
            </w:r>
            <w:r w:rsidRPr="005A5CB5">
              <w:rPr>
                <w:rFonts w:ascii="Arial" w:eastAsia="Times New Roman" w:hAnsi="Arial" w:cs="Arial"/>
                <w:color w:val="000000"/>
                <w:sz w:val="20"/>
                <w:szCs w:val="20"/>
                <w:lang w:eastAsia="en-GB"/>
              </w:rPr>
              <w:br/>
              <w:t xml:space="preserve">https://doi.org/10.3389/fpsyg.2021.616637 </w:t>
            </w:r>
          </w:p>
        </w:tc>
        <w:tc>
          <w:tcPr>
            <w:tcW w:w="940" w:type="dxa"/>
            <w:tcBorders>
              <w:top w:val="nil"/>
              <w:left w:val="nil"/>
              <w:bottom w:val="single" w:sz="4" w:space="0" w:color="auto"/>
              <w:right w:val="single" w:sz="4" w:space="0" w:color="auto"/>
            </w:tcBorders>
            <w:noWrap/>
            <w:vAlign w:val="bottom"/>
            <w:hideMark/>
          </w:tcPr>
          <w:p w14:paraId="6118D1C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30</w:t>
            </w:r>
          </w:p>
        </w:tc>
        <w:tc>
          <w:tcPr>
            <w:tcW w:w="1040" w:type="dxa"/>
            <w:tcBorders>
              <w:top w:val="nil"/>
              <w:left w:val="nil"/>
              <w:bottom w:val="single" w:sz="4" w:space="0" w:color="auto"/>
              <w:right w:val="single" w:sz="4" w:space="0" w:color="auto"/>
            </w:tcBorders>
            <w:noWrap/>
            <w:vAlign w:val="bottom"/>
            <w:hideMark/>
          </w:tcPr>
          <w:p w14:paraId="103459E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38%</w:t>
            </w:r>
          </w:p>
        </w:tc>
        <w:tc>
          <w:tcPr>
            <w:tcW w:w="640" w:type="dxa"/>
            <w:tcBorders>
              <w:top w:val="nil"/>
              <w:left w:val="nil"/>
              <w:bottom w:val="single" w:sz="4" w:space="0" w:color="auto"/>
              <w:right w:val="single" w:sz="4" w:space="0" w:color="auto"/>
            </w:tcBorders>
            <w:noWrap/>
            <w:vAlign w:val="bottom"/>
            <w:hideMark/>
          </w:tcPr>
          <w:p w14:paraId="43696C2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0.71</w:t>
            </w:r>
          </w:p>
        </w:tc>
      </w:tr>
      <w:tr w:rsidR="005A5CB5" w:rsidRPr="005A5CB5" w14:paraId="74D42018"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2E445E21"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Kraemer, M.J., Chalhoub, G., Webb, H., Flechais, I. (2023). “It becomes more of an abstract idea, this privacy”—Informing the design for communal privacy experiences in smart homes. International Journal of Human Computer Studies, Vol. 180, Article 103138. </w:t>
            </w:r>
            <w:r w:rsidRPr="005A5CB5">
              <w:rPr>
                <w:rFonts w:ascii="Arial" w:eastAsia="Times New Roman" w:hAnsi="Arial" w:cs="Arial"/>
                <w:color w:val="000000"/>
                <w:sz w:val="20"/>
                <w:szCs w:val="20"/>
                <w:lang w:eastAsia="en-GB"/>
              </w:rPr>
              <w:br/>
              <w:t xml:space="preserve">https://doi.org/10.1016/j.ijhcs.2023.103138 </w:t>
            </w:r>
          </w:p>
        </w:tc>
        <w:tc>
          <w:tcPr>
            <w:tcW w:w="940" w:type="dxa"/>
            <w:tcBorders>
              <w:top w:val="nil"/>
              <w:left w:val="nil"/>
              <w:bottom w:val="single" w:sz="4" w:space="0" w:color="auto"/>
              <w:right w:val="single" w:sz="4" w:space="0" w:color="auto"/>
            </w:tcBorders>
            <w:shd w:val="clear" w:color="000000" w:fill="E7F1F9"/>
            <w:noWrap/>
            <w:vAlign w:val="bottom"/>
            <w:hideMark/>
          </w:tcPr>
          <w:p w14:paraId="0FDBF60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9</w:t>
            </w:r>
          </w:p>
        </w:tc>
        <w:tc>
          <w:tcPr>
            <w:tcW w:w="1040" w:type="dxa"/>
            <w:tcBorders>
              <w:top w:val="nil"/>
              <w:left w:val="nil"/>
              <w:bottom w:val="single" w:sz="4" w:space="0" w:color="auto"/>
              <w:right w:val="single" w:sz="4" w:space="0" w:color="auto"/>
            </w:tcBorders>
            <w:shd w:val="clear" w:color="000000" w:fill="E7F1F9"/>
            <w:noWrap/>
            <w:vAlign w:val="bottom"/>
            <w:hideMark/>
          </w:tcPr>
          <w:p w14:paraId="047A1C7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41%</w:t>
            </w:r>
          </w:p>
        </w:tc>
        <w:tc>
          <w:tcPr>
            <w:tcW w:w="640" w:type="dxa"/>
            <w:tcBorders>
              <w:top w:val="nil"/>
              <w:left w:val="nil"/>
              <w:bottom w:val="single" w:sz="4" w:space="0" w:color="auto"/>
              <w:right w:val="single" w:sz="4" w:space="0" w:color="auto"/>
            </w:tcBorders>
            <w:shd w:val="clear" w:color="000000" w:fill="E7F1F9"/>
            <w:noWrap/>
            <w:vAlign w:val="bottom"/>
            <w:hideMark/>
          </w:tcPr>
          <w:p w14:paraId="5BA21A3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0.66</w:t>
            </w:r>
          </w:p>
        </w:tc>
      </w:tr>
      <w:tr w:rsidR="005A5CB5" w:rsidRPr="005A5CB5" w14:paraId="11BB4FB6"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08E02572"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(2024). Critical responsible innovation–the role(s) of the researcher. Journal of Responsible Innovation, Vol. 11, issue 1, Article 2300162. </w:t>
            </w:r>
            <w:r w:rsidRPr="005A5CB5">
              <w:rPr>
                <w:rFonts w:ascii="Arial" w:eastAsia="Times New Roman" w:hAnsi="Arial" w:cs="Arial"/>
                <w:color w:val="000000"/>
                <w:sz w:val="20"/>
                <w:szCs w:val="20"/>
                <w:lang w:eastAsia="en-GB"/>
              </w:rPr>
              <w:br/>
              <w:t xml:space="preserve">https://doi.org/10.1080/23299460.2023.2300162 </w:t>
            </w:r>
          </w:p>
        </w:tc>
        <w:tc>
          <w:tcPr>
            <w:tcW w:w="940" w:type="dxa"/>
            <w:tcBorders>
              <w:top w:val="nil"/>
              <w:left w:val="nil"/>
              <w:bottom w:val="single" w:sz="4" w:space="0" w:color="auto"/>
              <w:right w:val="single" w:sz="4" w:space="0" w:color="auto"/>
            </w:tcBorders>
            <w:noWrap/>
            <w:vAlign w:val="bottom"/>
            <w:hideMark/>
          </w:tcPr>
          <w:p w14:paraId="1A09291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w:t>
            </w:r>
          </w:p>
        </w:tc>
        <w:tc>
          <w:tcPr>
            <w:tcW w:w="1040" w:type="dxa"/>
            <w:tcBorders>
              <w:top w:val="nil"/>
              <w:left w:val="nil"/>
              <w:bottom w:val="single" w:sz="4" w:space="0" w:color="auto"/>
              <w:right w:val="single" w:sz="4" w:space="0" w:color="auto"/>
            </w:tcBorders>
            <w:noWrap/>
            <w:vAlign w:val="bottom"/>
            <w:hideMark/>
          </w:tcPr>
          <w:p w14:paraId="6C7ACE7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41%</w:t>
            </w:r>
          </w:p>
        </w:tc>
        <w:tc>
          <w:tcPr>
            <w:tcW w:w="640" w:type="dxa"/>
            <w:tcBorders>
              <w:top w:val="nil"/>
              <w:left w:val="nil"/>
              <w:bottom w:val="single" w:sz="4" w:space="0" w:color="auto"/>
              <w:right w:val="single" w:sz="4" w:space="0" w:color="auto"/>
            </w:tcBorders>
            <w:noWrap/>
            <w:vAlign w:val="bottom"/>
            <w:hideMark/>
          </w:tcPr>
          <w:p w14:paraId="3E4FAD6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0.65</w:t>
            </w:r>
          </w:p>
        </w:tc>
      </w:tr>
      <w:tr w:rsidR="005A5CB5" w:rsidRPr="005A5CB5" w14:paraId="4A11BD02"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59EDBB0E"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Darzentas, D., Cameron, H., Wagner, H., Craigon, P., Bodiaj, E., Spence, J., Tennent, P., Benford, S. (2022). Data-inspired co-design for museum and gallery visitor experiences. Artificial Intelligence for Engineering Design, Analysis and Manufacturing: AIEDAM, Vol. 36, Article e3. </w:t>
            </w:r>
            <w:r w:rsidRPr="005A5CB5">
              <w:rPr>
                <w:rFonts w:ascii="Arial" w:eastAsia="Times New Roman" w:hAnsi="Arial" w:cs="Arial"/>
                <w:color w:val="000000"/>
                <w:sz w:val="20"/>
                <w:szCs w:val="20"/>
                <w:lang w:eastAsia="en-GB"/>
              </w:rPr>
              <w:br/>
              <w:t xml:space="preserve">https://doi.org/10.1017/S0890060421000317 </w:t>
            </w:r>
          </w:p>
        </w:tc>
        <w:tc>
          <w:tcPr>
            <w:tcW w:w="940" w:type="dxa"/>
            <w:tcBorders>
              <w:top w:val="nil"/>
              <w:left w:val="nil"/>
              <w:bottom w:val="single" w:sz="4" w:space="0" w:color="auto"/>
              <w:right w:val="single" w:sz="4" w:space="0" w:color="auto"/>
            </w:tcBorders>
            <w:shd w:val="clear" w:color="000000" w:fill="E7F1F9"/>
            <w:noWrap/>
            <w:vAlign w:val="bottom"/>
            <w:hideMark/>
          </w:tcPr>
          <w:p w14:paraId="102DDBE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13</w:t>
            </w:r>
          </w:p>
        </w:tc>
        <w:tc>
          <w:tcPr>
            <w:tcW w:w="1040" w:type="dxa"/>
            <w:tcBorders>
              <w:top w:val="nil"/>
              <w:left w:val="nil"/>
              <w:bottom w:val="single" w:sz="4" w:space="0" w:color="auto"/>
              <w:right w:val="single" w:sz="4" w:space="0" w:color="auto"/>
            </w:tcBorders>
            <w:shd w:val="clear" w:color="000000" w:fill="E7F1F9"/>
            <w:noWrap/>
            <w:vAlign w:val="bottom"/>
            <w:hideMark/>
          </w:tcPr>
          <w:p w14:paraId="4A5B1D1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44%</w:t>
            </w:r>
          </w:p>
        </w:tc>
        <w:tc>
          <w:tcPr>
            <w:tcW w:w="640" w:type="dxa"/>
            <w:tcBorders>
              <w:top w:val="nil"/>
              <w:left w:val="nil"/>
              <w:bottom w:val="single" w:sz="4" w:space="0" w:color="auto"/>
              <w:right w:val="single" w:sz="4" w:space="0" w:color="auto"/>
            </w:tcBorders>
            <w:shd w:val="clear" w:color="000000" w:fill="E7F1F9"/>
            <w:noWrap/>
            <w:vAlign w:val="bottom"/>
            <w:hideMark/>
          </w:tcPr>
          <w:p w14:paraId="2478D1B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0.6</w:t>
            </w:r>
          </w:p>
        </w:tc>
      </w:tr>
      <w:tr w:rsidR="005A5CB5" w:rsidRPr="005A5CB5" w14:paraId="72E302A5"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58CCEAB"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Wingfield, L.R., Wainwright, K., Knight, S., Webb, H. (2025). A Trusted Friend in the Middle of the Night: End-User Perspectives on Artificial Intelligence Informed Software Systems as a Decision-Making Aid for Patients and Clinicians Navigating Uncertainty in Kidney Transplant. Lecture Notes in Computer Science (including subseries Lecture Notes in Artificial Intelligence and Lecture Notes in Bioinformatics) , Vol. 15383, 193-209. </w:t>
            </w:r>
            <w:r w:rsidRPr="005A5CB5">
              <w:rPr>
                <w:rFonts w:ascii="Arial" w:eastAsia="Times New Roman" w:hAnsi="Arial" w:cs="Arial"/>
                <w:color w:val="000000"/>
                <w:sz w:val="20"/>
                <w:szCs w:val="20"/>
                <w:lang w:eastAsia="en-GB"/>
              </w:rPr>
              <w:br/>
              <w:t xml:space="preserve">https://doi.org/10.1007/978-3-031-80889-0_14 </w:t>
            </w:r>
          </w:p>
        </w:tc>
        <w:tc>
          <w:tcPr>
            <w:tcW w:w="940" w:type="dxa"/>
            <w:tcBorders>
              <w:top w:val="nil"/>
              <w:left w:val="nil"/>
              <w:bottom w:val="single" w:sz="4" w:space="0" w:color="auto"/>
              <w:right w:val="single" w:sz="4" w:space="0" w:color="auto"/>
            </w:tcBorders>
            <w:noWrap/>
            <w:vAlign w:val="bottom"/>
            <w:hideMark/>
          </w:tcPr>
          <w:p w14:paraId="25E140E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noWrap/>
            <w:vAlign w:val="bottom"/>
            <w:hideMark/>
          </w:tcPr>
          <w:p w14:paraId="4D839C0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40%</w:t>
            </w:r>
          </w:p>
        </w:tc>
        <w:tc>
          <w:tcPr>
            <w:tcW w:w="640" w:type="dxa"/>
            <w:tcBorders>
              <w:top w:val="nil"/>
              <w:left w:val="nil"/>
              <w:bottom w:val="single" w:sz="4" w:space="0" w:color="auto"/>
              <w:right w:val="single" w:sz="4" w:space="0" w:color="auto"/>
            </w:tcBorders>
            <w:noWrap/>
            <w:vAlign w:val="bottom"/>
            <w:hideMark/>
          </w:tcPr>
          <w:p w14:paraId="4D05CF0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0.58</w:t>
            </w:r>
          </w:p>
        </w:tc>
      </w:tr>
      <w:tr w:rsidR="005A5CB5" w:rsidRPr="005A5CB5" w14:paraId="5863D12D"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09E9775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lastRenderedPageBreak/>
              <w:t xml:space="preserve">Reyes-Cruz, G., Boudouraki, A., Price, D.J., Piskopani, A.-M., Barnard, P., Cameron, H.R., Maior, H.A., Trigo, M.J.G., Reeves, S., Fischer, J.E., Caleb-Solly, P. (2025). Please Follow Me to the Next Stop: A Case Study of Planning, Deploying and Researching a Robot-Guided Tour in a Museum in the UK. Conference on Human Factors in Computing Systems - Proceedings , Article 690. </w:t>
            </w:r>
            <w:r w:rsidRPr="005A5CB5">
              <w:rPr>
                <w:rFonts w:ascii="Arial" w:eastAsia="Times New Roman" w:hAnsi="Arial" w:cs="Arial"/>
                <w:color w:val="000000"/>
                <w:sz w:val="20"/>
                <w:szCs w:val="20"/>
                <w:lang w:eastAsia="en-GB"/>
              </w:rPr>
              <w:br/>
              <w:t xml:space="preserve">https://doi.org/10.1145/3706599.3706660 </w:t>
            </w:r>
          </w:p>
        </w:tc>
        <w:tc>
          <w:tcPr>
            <w:tcW w:w="940" w:type="dxa"/>
            <w:tcBorders>
              <w:top w:val="nil"/>
              <w:left w:val="nil"/>
              <w:bottom w:val="single" w:sz="4" w:space="0" w:color="auto"/>
              <w:right w:val="single" w:sz="4" w:space="0" w:color="auto"/>
            </w:tcBorders>
            <w:shd w:val="clear" w:color="000000" w:fill="E7F1F9"/>
            <w:noWrap/>
            <w:vAlign w:val="bottom"/>
            <w:hideMark/>
          </w:tcPr>
          <w:p w14:paraId="5C951BB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5F5497F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40%</w:t>
            </w:r>
          </w:p>
        </w:tc>
        <w:tc>
          <w:tcPr>
            <w:tcW w:w="640" w:type="dxa"/>
            <w:tcBorders>
              <w:top w:val="nil"/>
              <w:left w:val="nil"/>
              <w:bottom w:val="single" w:sz="4" w:space="0" w:color="auto"/>
              <w:right w:val="single" w:sz="4" w:space="0" w:color="auto"/>
            </w:tcBorders>
            <w:shd w:val="clear" w:color="000000" w:fill="E7F1F9"/>
            <w:noWrap/>
            <w:vAlign w:val="bottom"/>
            <w:hideMark/>
          </w:tcPr>
          <w:p w14:paraId="4B56B4D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0.57</w:t>
            </w:r>
          </w:p>
        </w:tc>
      </w:tr>
      <w:tr w:rsidR="005A5CB5" w:rsidRPr="005A5CB5" w14:paraId="2F0E26C8"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085C92FA"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Boudouraki, A., Cameron, H.R., Reyes-Cruz, G., Avila, J.P.M., Orduna, M., Castro, S.V., Kohonen-Aho, L. (2025). </w:t>
            </w:r>
            <w:r w:rsidRPr="005A5CB5">
              <w:rPr>
                <w:rFonts w:ascii="Arial" w:eastAsia="Times New Roman" w:hAnsi="Arial" w:cs="Arial"/>
                <w:color w:val="000000"/>
                <w:sz w:val="20"/>
                <w:szCs w:val="20"/>
                <w:lang w:eastAsia="en-GB"/>
              </w:rPr>
              <w:t xml:space="preserve">Contesting Control with Automation in Technology-Mediated Interactions. Conference on Human Factors in Computing Systems - Proceedings , Article 150. </w:t>
            </w:r>
            <w:r w:rsidRPr="005A5CB5">
              <w:rPr>
                <w:rFonts w:ascii="Arial" w:eastAsia="Times New Roman" w:hAnsi="Arial" w:cs="Arial"/>
                <w:color w:val="000000"/>
                <w:sz w:val="20"/>
                <w:szCs w:val="20"/>
                <w:lang w:eastAsia="en-GB"/>
              </w:rPr>
              <w:br/>
              <w:t xml:space="preserve">https://doi.org/10.1145/3706599.3719855 </w:t>
            </w:r>
          </w:p>
        </w:tc>
        <w:tc>
          <w:tcPr>
            <w:tcW w:w="940" w:type="dxa"/>
            <w:tcBorders>
              <w:top w:val="nil"/>
              <w:left w:val="nil"/>
              <w:bottom w:val="single" w:sz="4" w:space="0" w:color="auto"/>
              <w:right w:val="single" w:sz="4" w:space="0" w:color="auto"/>
            </w:tcBorders>
            <w:noWrap/>
            <w:vAlign w:val="bottom"/>
            <w:hideMark/>
          </w:tcPr>
          <w:p w14:paraId="627F3C5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noWrap/>
            <w:vAlign w:val="bottom"/>
            <w:hideMark/>
          </w:tcPr>
          <w:p w14:paraId="4639AB7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40%</w:t>
            </w:r>
          </w:p>
        </w:tc>
        <w:tc>
          <w:tcPr>
            <w:tcW w:w="640" w:type="dxa"/>
            <w:tcBorders>
              <w:top w:val="nil"/>
              <w:left w:val="nil"/>
              <w:bottom w:val="single" w:sz="4" w:space="0" w:color="auto"/>
              <w:right w:val="single" w:sz="4" w:space="0" w:color="auto"/>
            </w:tcBorders>
            <w:noWrap/>
            <w:vAlign w:val="bottom"/>
            <w:hideMark/>
          </w:tcPr>
          <w:p w14:paraId="2D72FAD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0.57</w:t>
            </w:r>
          </w:p>
        </w:tc>
      </w:tr>
      <w:tr w:rsidR="005A5CB5" w:rsidRPr="005A5CB5" w14:paraId="456AD497"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CF2993A"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Portillo, V., Dowthwaite, L., Creswick, H., Pérez Vallejos, E., Ten Holter, C., Koene, A., Jirotka, M., Zhao, J. (2024). A call to action: Designing a more transparent online world for children and young people. Journal of Responsible Technology, Vol. 19, Article 100093. </w:t>
            </w:r>
            <w:r w:rsidRPr="005A5CB5">
              <w:rPr>
                <w:rFonts w:ascii="Arial" w:eastAsia="Times New Roman" w:hAnsi="Arial" w:cs="Arial"/>
                <w:color w:val="000000"/>
                <w:sz w:val="20"/>
                <w:szCs w:val="20"/>
                <w:lang w:eastAsia="en-GB"/>
              </w:rPr>
              <w:br/>
              <w:t xml:space="preserve">https://doi.org/10.1016/j.jrt.2024.100093 </w:t>
            </w:r>
          </w:p>
        </w:tc>
        <w:tc>
          <w:tcPr>
            <w:tcW w:w="940" w:type="dxa"/>
            <w:tcBorders>
              <w:top w:val="nil"/>
              <w:left w:val="nil"/>
              <w:bottom w:val="single" w:sz="4" w:space="0" w:color="auto"/>
              <w:right w:val="single" w:sz="4" w:space="0" w:color="auto"/>
            </w:tcBorders>
            <w:shd w:val="clear" w:color="000000" w:fill="E7F1F9"/>
            <w:noWrap/>
            <w:vAlign w:val="bottom"/>
            <w:hideMark/>
          </w:tcPr>
          <w:p w14:paraId="11ED265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1040" w:type="dxa"/>
            <w:tcBorders>
              <w:top w:val="nil"/>
              <w:left w:val="nil"/>
              <w:bottom w:val="single" w:sz="4" w:space="0" w:color="auto"/>
              <w:right w:val="single" w:sz="4" w:space="0" w:color="auto"/>
            </w:tcBorders>
            <w:shd w:val="clear" w:color="000000" w:fill="E7F1F9"/>
            <w:noWrap/>
            <w:vAlign w:val="bottom"/>
            <w:hideMark/>
          </w:tcPr>
          <w:p w14:paraId="51E5343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45%</w:t>
            </w:r>
          </w:p>
        </w:tc>
        <w:tc>
          <w:tcPr>
            <w:tcW w:w="640" w:type="dxa"/>
            <w:tcBorders>
              <w:top w:val="nil"/>
              <w:left w:val="nil"/>
              <w:bottom w:val="single" w:sz="4" w:space="0" w:color="auto"/>
              <w:right w:val="single" w:sz="4" w:space="0" w:color="auto"/>
            </w:tcBorders>
            <w:shd w:val="clear" w:color="000000" w:fill="E7F1F9"/>
            <w:noWrap/>
            <w:vAlign w:val="bottom"/>
            <w:hideMark/>
          </w:tcPr>
          <w:p w14:paraId="6110326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0.57</w:t>
            </w:r>
          </w:p>
        </w:tc>
      </w:tr>
      <w:tr w:rsidR="005A5CB5" w:rsidRPr="005A5CB5" w14:paraId="454EA093"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E6A74A8"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Perez Vallejos, E., Dowthwaite, L., Creswich, H., Portillo, V., Koene, A., Jirotka, M., McCarthy, A., McAuley, D. (2021). The impact of algorithmic decision-making processes on young people’s well-being. Health Informatics Journal, Vol. 27, issue 1. </w:t>
            </w:r>
            <w:r w:rsidRPr="005A5CB5">
              <w:rPr>
                <w:rFonts w:ascii="Arial" w:eastAsia="Times New Roman" w:hAnsi="Arial" w:cs="Arial"/>
                <w:color w:val="000000"/>
                <w:sz w:val="20"/>
                <w:szCs w:val="20"/>
                <w:lang w:eastAsia="en-GB"/>
              </w:rPr>
              <w:br/>
              <w:t xml:space="preserve">https://doi.org/10.1177/1460458220972750 </w:t>
            </w:r>
          </w:p>
        </w:tc>
        <w:tc>
          <w:tcPr>
            <w:tcW w:w="940" w:type="dxa"/>
            <w:tcBorders>
              <w:top w:val="nil"/>
              <w:left w:val="nil"/>
              <w:bottom w:val="single" w:sz="4" w:space="0" w:color="auto"/>
              <w:right w:val="single" w:sz="4" w:space="0" w:color="auto"/>
            </w:tcBorders>
            <w:noWrap/>
            <w:vAlign w:val="bottom"/>
            <w:hideMark/>
          </w:tcPr>
          <w:p w14:paraId="450A15A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32</w:t>
            </w:r>
          </w:p>
        </w:tc>
        <w:tc>
          <w:tcPr>
            <w:tcW w:w="1040" w:type="dxa"/>
            <w:tcBorders>
              <w:top w:val="nil"/>
              <w:left w:val="nil"/>
              <w:bottom w:val="single" w:sz="4" w:space="0" w:color="auto"/>
              <w:right w:val="single" w:sz="4" w:space="0" w:color="auto"/>
            </w:tcBorders>
            <w:noWrap/>
            <w:vAlign w:val="bottom"/>
            <w:hideMark/>
          </w:tcPr>
          <w:p w14:paraId="2EEE034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45%</w:t>
            </w:r>
          </w:p>
        </w:tc>
        <w:tc>
          <w:tcPr>
            <w:tcW w:w="640" w:type="dxa"/>
            <w:tcBorders>
              <w:top w:val="nil"/>
              <w:left w:val="nil"/>
              <w:bottom w:val="single" w:sz="4" w:space="0" w:color="auto"/>
              <w:right w:val="single" w:sz="4" w:space="0" w:color="auto"/>
            </w:tcBorders>
            <w:noWrap/>
            <w:vAlign w:val="bottom"/>
            <w:hideMark/>
          </w:tcPr>
          <w:p w14:paraId="7C00C9E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0.56</w:t>
            </w:r>
          </w:p>
        </w:tc>
      </w:tr>
      <w:tr w:rsidR="005A5CB5" w:rsidRPr="005A5CB5" w14:paraId="6E14911F"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7472F267"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Wingfield, L.R., Salaun, A., Khan, A., Webb, H., Zhu, T., Knight, S. (2024). Clinical Decision Support Systems Used in Transplantation: Are They Tools for Success or an Unnecessary Gadget? A Systematic Review. Transplantation, Vol. 108, issue 1, 72-99. </w:t>
            </w:r>
            <w:r w:rsidRPr="005A5CB5">
              <w:rPr>
                <w:rFonts w:ascii="Arial" w:eastAsia="Times New Roman" w:hAnsi="Arial" w:cs="Arial"/>
                <w:color w:val="000000"/>
                <w:sz w:val="20"/>
                <w:szCs w:val="20"/>
                <w:lang w:eastAsia="en-GB"/>
              </w:rPr>
              <w:br/>
              <w:t xml:space="preserve">https://doi.org/10.1097/TP.0000000000004627 </w:t>
            </w:r>
          </w:p>
        </w:tc>
        <w:tc>
          <w:tcPr>
            <w:tcW w:w="940" w:type="dxa"/>
            <w:tcBorders>
              <w:top w:val="nil"/>
              <w:left w:val="nil"/>
              <w:bottom w:val="single" w:sz="4" w:space="0" w:color="auto"/>
              <w:right w:val="single" w:sz="4" w:space="0" w:color="auto"/>
            </w:tcBorders>
            <w:shd w:val="clear" w:color="000000" w:fill="E7F1F9"/>
            <w:noWrap/>
            <w:vAlign w:val="bottom"/>
            <w:hideMark/>
          </w:tcPr>
          <w:p w14:paraId="78CA52C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1040" w:type="dxa"/>
            <w:tcBorders>
              <w:top w:val="nil"/>
              <w:left w:val="nil"/>
              <w:bottom w:val="single" w:sz="4" w:space="0" w:color="auto"/>
              <w:right w:val="single" w:sz="4" w:space="0" w:color="auto"/>
            </w:tcBorders>
            <w:shd w:val="clear" w:color="000000" w:fill="E7F1F9"/>
            <w:noWrap/>
            <w:vAlign w:val="bottom"/>
            <w:hideMark/>
          </w:tcPr>
          <w:p w14:paraId="04D7663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49%</w:t>
            </w:r>
          </w:p>
        </w:tc>
        <w:tc>
          <w:tcPr>
            <w:tcW w:w="640" w:type="dxa"/>
            <w:tcBorders>
              <w:top w:val="nil"/>
              <w:left w:val="nil"/>
              <w:bottom w:val="single" w:sz="4" w:space="0" w:color="auto"/>
              <w:right w:val="single" w:sz="4" w:space="0" w:color="auto"/>
            </w:tcBorders>
            <w:shd w:val="clear" w:color="000000" w:fill="E7F1F9"/>
            <w:noWrap/>
            <w:vAlign w:val="bottom"/>
            <w:hideMark/>
          </w:tcPr>
          <w:p w14:paraId="5678A9B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0.48</w:t>
            </w:r>
          </w:p>
        </w:tc>
      </w:tr>
      <w:tr w:rsidR="005A5CB5" w:rsidRPr="005A5CB5" w14:paraId="5F8DAA2C"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6104DD2"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Ogoh, G., Akintoye, S., Eke, D., Farisco, M., Fernow, J., Grasenick, K., Guerrero, M., Rosemann, A., Salles, A., Ulnicane, I. (2023). Developing capabilities for responsible research and innovation (RRI). Journal of Responsible Technology, Vol. 15, Article 100065. </w:t>
            </w:r>
            <w:r w:rsidRPr="005A5CB5">
              <w:rPr>
                <w:rFonts w:ascii="Arial" w:eastAsia="Times New Roman" w:hAnsi="Arial" w:cs="Arial"/>
                <w:color w:val="000000"/>
                <w:sz w:val="20"/>
                <w:szCs w:val="20"/>
                <w:lang w:eastAsia="en-GB"/>
              </w:rPr>
              <w:br/>
              <w:t xml:space="preserve">https://doi.org/10.1016/j.jrt.2023.100065 </w:t>
            </w:r>
          </w:p>
        </w:tc>
        <w:tc>
          <w:tcPr>
            <w:tcW w:w="940" w:type="dxa"/>
            <w:tcBorders>
              <w:top w:val="nil"/>
              <w:left w:val="nil"/>
              <w:bottom w:val="single" w:sz="4" w:space="0" w:color="auto"/>
              <w:right w:val="single" w:sz="4" w:space="0" w:color="auto"/>
            </w:tcBorders>
            <w:noWrap/>
            <w:vAlign w:val="bottom"/>
            <w:hideMark/>
          </w:tcPr>
          <w:p w14:paraId="5A8638F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w:t>
            </w:r>
          </w:p>
        </w:tc>
        <w:tc>
          <w:tcPr>
            <w:tcW w:w="1040" w:type="dxa"/>
            <w:tcBorders>
              <w:top w:val="nil"/>
              <w:left w:val="nil"/>
              <w:bottom w:val="single" w:sz="4" w:space="0" w:color="auto"/>
              <w:right w:val="single" w:sz="4" w:space="0" w:color="auto"/>
            </w:tcBorders>
            <w:noWrap/>
            <w:vAlign w:val="bottom"/>
            <w:hideMark/>
          </w:tcPr>
          <w:p w14:paraId="6A4561F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51%</w:t>
            </w:r>
          </w:p>
        </w:tc>
        <w:tc>
          <w:tcPr>
            <w:tcW w:w="640" w:type="dxa"/>
            <w:tcBorders>
              <w:top w:val="nil"/>
              <w:left w:val="nil"/>
              <w:bottom w:val="single" w:sz="4" w:space="0" w:color="auto"/>
              <w:right w:val="single" w:sz="4" w:space="0" w:color="auto"/>
            </w:tcBorders>
            <w:noWrap/>
            <w:vAlign w:val="bottom"/>
            <w:hideMark/>
          </w:tcPr>
          <w:p w14:paraId="02CBCD3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0.45</w:t>
            </w:r>
          </w:p>
        </w:tc>
      </w:tr>
      <w:tr w:rsidR="005A5CB5" w:rsidRPr="005A5CB5" w14:paraId="360FCF5B"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58C65458"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Portillo, V., Craigon, P., Dowthwaite, L., Greenhalgh, C., Pérez-Vallejos, E. (2022). Supporting responsible research and innovation within a university-based digital research programme: Reflections from the “hoRRIzon” project. Journal of Responsible Technology, Vol. 12, Article 100045. </w:t>
            </w:r>
            <w:r w:rsidRPr="005A5CB5">
              <w:rPr>
                <w:rFonts w:ascii="Arial" w:eastAsia="Times New Roman" w:hAnsi="Arial" w:cs="Arial"/>
                <w:color w:val="000000"/>
                <w:sz w:val="20"/>
                <w:szCs w:val="20"/>
                <w:lang w:eastAsia="en-GB"/>
              </w:rPr>
              <w:br/>
              <w:t xml:space="preserve">https://doi.org/10.1016/j.jrt.2022.100045 </w:t>
            </w:r>
          </w:p>
        </w:tc>
        <w:tc>
          <w:tcPr>
            <w:tcW w:w="940" w:type="dxa"/>
            <w:tcBorders>
              <w:top w:val="nil"/>
              <w:left w:val="nil"/>
              <w:bottom w:val="single" w:sz="4" w:space="0" w:color="auto"/>
              <w:right w:val="single" w:sz="4" w:space="0" w:color="auto"/>
            </w:tcBorders>
            <w:shd w:val="clear" w:color="000000" w:fill="E7F1F9"/>
            <w:noWrap/>
            <w:vAlign w:val="bottom"/>
            <w:hideMark/>
          </w:tcPr>
          <w:p w14:paraId="4B9E963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w:t>
            </w:r>
          </w:p>
        </w:tc>
        <w:tc>
          <w:tcPr>
            <w:tcW w:w="1040" w:type="dxa"/>
            <w:tcBorders>
              <w:top w:val="nil"/>
              <w:left w:val="nil"/>
              <w:bottom w:val="single" w:sz="4" w:space="0" w:color="auto"/>
              <w:right w:val="single" w:sz="4" w:space="0" w:color="auto"/>
            </w:tcBorders>
            <w:shd w:val="clear" w:color="000000" w:fill="E7F1F9"/>
            <w:noWrap/>
            <w:vAlign w:val="bottom"/>
            <w:hideMark/>
          </w:tcPr>
          <w:p w14:paraId="1DF5016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52%</w:t>
            </w:r>
          </w:p>
        </w:tc>
        <w:tc>
          <w:tcPr>
            <w:tcW w:w="640" w:type="dxa"/>
            <w:tcBorders>
              <w:top w:val="nil"/>
              <w:left w:val="nil"/>
              <w:bottom w:val="single" w:sz="4" w:space="0" w:color="auto"/>
              <w:right w:val="single" w:sz="4" w:space="0" w:color="auto"/>
            </w:tcBorders>
            <w:shd w:val="clear" w:color="000000" w:fill="E7F1F9"/>
            <w:noWrap/>
            <w:vAlign w:val="bottom"/>
            <w:hideMark/>
          </w:tcPr>
          <w:p w14:paraId="5B430B2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0.44</w:t>
            </w:r>
          </w:p>
        </w:tc>
      </w:tr>
      <w:tr w:rsidR="005A5CB5" w:rsidRPr="005A5CB5" w14:paraId="4B0704D6"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17929706"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Ogunniye, G., Legastelois, B., Rovatsos, M., Dowthwaite, L., Portillo, V., Perez Vallejos, E., Zhao, J., Jirotka, M. (2021). </w:t>
            </w:r>
            <w:r w:rsidRPr="005A5CB5">
              <w:rPr>
                <w:rFonts w:ascii="Arial" w:eastAsia="Times New Roman" w:hAnsi="Arial" w:cs="Arial"/>
                <w:color w:val="000000"/>
                <w:sz w:val="20"/>
                <w:szCs w:val="20"/>
                <w:lang w:eastAsia="en-GB"/>
              </w:rPr>
              <w:t xml:space="preserve">Understanding User Perceptions of Trustworthiness in E-Recruitment Systems. IEEE Internet Computing, Vol. 25, issue 6, 23-32. </w:t>
            </w:r>
            <w:r w:rsidRPr="005A5CB5">
              <w:rPr>
                <w:rFonts w:ascii="Arial" w:eastAsia="Times New Roman" w:hAnsi="Arial" w:cs="Arial"/>
                <w:color w:val="000000"/>
                <w:sz w:val="20"/>
                <w:szCs w:val="20"/>
                <w:lang w:eastAsia="en-GB"/>
              </w:rPr>
              <w:br/>
              <w:t xml:space="preserve">https://doi.org/10.1109/MIC.2021.3115670 </w:t>
            </w:r>
          </w:p>
        </w:tc>
        <w:tc>
          <w:tcPr>
            <w:tcW w:w="940" w:type="dxa"/>
            <w:tcBorders>
              <w:top w:val="nil"/>
              <w:left w:val="nil"/>
              <w:bottom w:val="single" w:sz="4" w:space="0" w:color="auto"/>
              <w:right w:val="single" w:sz="4" w:space="0" w:color="auto"/>
            </w:tcBorders>
            <w:noWrap/>
            <w:vAlign w:val="bottom"/>
            <w:hideMark/>
          </w:tcPr>
          <w:p w14:paraId="6DB8872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16</w:t>
            </w:r>
          </w:p>
        </w:tc>
        <w:tc>
          <w:tcPr>
            <w:tcW w:w="1040" w:type="dxa"/>
            <w:tcBorders>
              <w:top w:val="nil"/>
              <w:left w:val="nil"/>
              <w:bottom w:val="single" w:sz="4" w:space="0" w:color="auto"/>
              <w:right w:val="single" w:sz="4" w:space="0" w:color="auto"/>
            </w:tcBorders>
            <w:noWrap/>
            <w:vAlign w:val="bottom"/>
            <w:hideMark/>
          </w:tcPr>
          <w:p w14:paraId="5B2622C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51%</w:t>
            </w:r>
          </w:p>
        </w:tc>
        <w:tc>
          <w:tcPr>
            <w:tcW w:w="640" w:type="dxa"/>
            <w:tcBorders>
              <w:top w:val="nil"/>
              <w:left w:val="nil"/>
              <w:bottom w:val="single" w:sz="4" w:space="0" w:color="auto"/>
              <w:right w:val="single" w:sz="4" w:space="0" w:color="auto"/>
            </w:tcBorders>
            <w:noWrap/>
            <w:vAlign w:val="bottom"/>
            <w:hideMark/>
          </w:tcPr>
          <w:p w14:paraId="611057D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0.44</w:t>
            </w:r>
          </w:p>
        </w:tc>
      </w:tr>
      <w:tr w:rsidR="005A5CB5" w:rsidRPr="005A5CB5" w14:paraId="74985A4C"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675159E2"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t xml:space="preserve">Eke, D., Ochang, P., Stahl, B.C. (2023). </w:t>
            </w:r>
            <w:r w:rsidRPr="005A5CB5">
              <w:rPr>
                <w:rFonts w:ascii="Arial" w:eastAsia="Times New Roman" w:hAnsi="Arial" w:cs="Arial"/>
                <w:color w:val="000000"/>
                <w:sz w:val="20"/>
                <w:szCs w:val="20"/>
                <w:lang w:eastAsia="en-GB"/>
              </w:rPr>
              <w:t xml:space="preserve">Towards an understanding of global brain data governance: ethical positions that underpin global brain data governance discourse. Frontiers in Big Data, Vol. 6, Article 1240660. </w:t>
            </w:r>
            <w:r w:rsidRPr="005A5CB5">
              <w:rPr>
                <w:rFonts w:ascii="Arial" w:eastAsia="Times New Roman" w:hAnsi="Arial" w:cs="Arial"/>
                <w:color w:val="000000"/>
                <w:sz w:val="20"/>
                <w:szCs w:val="20"/>
                <w:lang w:eastAsia="en-GB"/>
              </w:rPr>
              <w:br/>
              <w:t xml:space="preserve">https://doi.org/10.3389/fdata.2023.1240660 </w:t>
            </w:r>
          </w:p>
        </w:tc>
        <w:tc>
          <w:tcPr>
            <w:tcW w:w="940" w:type="dxa"/>
            <w:tcBorders>
              <w:top w:val="nil"/>
              <w:left w:val="nil"/>
              <w:bottom w:val="single" w:sz="4" w:space="0" w:color="auto"/>
              <w:right w:val="single" w:sz="4" w:space="0" w:color="auto"/>
            </w:tcBorders>
            <w:shd w:val="clear" w:color="000000" w:fill="E7F1F9"/>
            <w:noWrap/>
            <w:vAlign w:val="bottom"/>
            <w:hideMark/>
          </w:tcPr>
          <w:p w14:paraId="36F232A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w:t>
            </w:r>
          </w:p>
        </w:tc>
        <w:tc>
          <w:tcPr>
            <w:tcW w:w="1040" w:type="dxa"/>
            <w:tcBorders>
              <w:top w:val="nil"/>
              <w:left w:val="nil"/>
              <w:bottom w:val="single" w:sz="4" w:space="0" w:color="auto"/>
              <w:right w:val="single" w:sz="4" w:space="0" w:color="auto"/>
            </w:tcBorders>
            <w:shd w:val="clear" w:color="000000" w:fill="E7F1F9"/>
            <w:noWrap/>
            <w:vAlign w:val="bottom"/>
            <w:hideMark/>
          </w:tcPr>
          <w:p w14:paraId="048D2A2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52%</w:t>
            </w:r>
          </w:p>
        </w:tc>
        <w:tc>
          <w:tcPr>
            <w:tcW w:w="640" w:type="dxa"/>
            <w:tcBorders>
              <w:top w:val="nil"/>
              <w:left w:val="nil"/>
              <w:bottom w:val="single" w:sz="4" w:space="0" w:color="auto"/>
              <w:right w:val="single" w:sz="4" w:space="0" w:color="auto"/>
            </w:tcBorders>
            <w:shd w:val="clear" w:color="000000" w:fill="E7F1F9"/>
            <w:noWrap/>
            <w:vAlign w:val="bottom"/>
            <w:hideMark/>
          </w:tcPr>
          <w:p w14:paraId="3697B21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0.43</w:t>
            </w:r>
          </w:p>
        </w:tc>
      </w:tr>
      <w:tr w:rsidR="005A5CB5" w:rsidRPr="005A5CB5" w14:paraId="4B1964B4"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13CD010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Eke, D., Ogoh, G., Knight, W., Stahl, B. (2023). Time to consider animal data governance: perspectives from neuroscience. Frontiers in Neuroinformatics, Vol. 17, Article 1233121. </w:t>
            </w:r>
            <w:r w:rsidRPr="005A5CB5">
              <w:rPr>
                <w:rFonts w:ascii="Arial" w:eastAsia="Times New Roman" w:hAnsi="Arial" w:cs="Arial"/>
                <w:color w:val="000000"/>
                <w:sz w:val="20"/>
                <w:szCs w:val="20"/>
                <w:lang w:eastAsia="en-GB"/>
              </w:rPr>
              <w:br/>
              <w:t xml:space="preserve">https://doi.org/10.3389/fninf.2023.1233121 </w:t>
            </w:r>
          </w:p>
        </w:tc>
        <w:tc>
          <w:tcPr>
            <w:tcW w:w="940" w:type="dxa"/>
            <w:tcBorders>
              <w:top w:val="nil"/>
              <w:left w:val="nil"/>
              <w:bottom w:val="single" w:sz="4" w:space="0" w:color="auto"/>
              <w:right w:val="single" w:sz="4" w:space="0" w:color="auto"/>
            </w:tcBorders>
            <w:noWrap/>
            <w:vAlign w:val="bottom"/>
            <w:hideMark/>
          </w:tcPr>
          <w:p w14:paraId="3AAE623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w:t>
            </w:r>
          </w:p>
        </w:tc>
        <w:tc>
          <w:tcPr>
            <w:tcW w:w="1040" w:type="dxa"/>
            <w:tcBorders>
              <w:top w:val="nil"/>
              <w:left w:val="nil"/>
              <w:bottom w:val="single" w:sz="4" w:space="0" w:color="auto"/>
              <w:right w:val="single" w:sz="4" w:space="0" w:color="auto"/>
            </w:tcBorders>
            <w:noWrap/>
            <w:vAlign w:val="bottom"/>
            <w:hideMark/>
          </w:tcPr>
          <w:p w14:paraId="4EFA693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54%</w:t>
            </w:r>
          </w:p>
        </w:tc>
        <w:tc>
          <w:tcPr>
            <w:tcW w:w="640" w:type="dxa"/>
            <w:tcBorders>
              <w:top w:val="nil"/>
              <w:left w:val="nil"/>
              <w:bottom w:val="single" w:sz="4" w:space="0" w:color="auto"/>
              <w:right w:val="single" w:sz="4" w:space="0" w:color="auto"/>
            </w:tcBorders>
            <w:noWrap/>
            <w:vAlign w:val="bottom"/>
            <w:hideMark/>
          </w:tcPr>
          <w:p w14:paraId="77A3344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0.4</w:t>
            </w:r>
          </w:p>
        </w:tc>
      </w:tr>
      <w:tr w:rsidR="005A5CB5" w:rsidRPr="005A5CB5" w14:paraId="1E0B0726"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28393039"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Portillo, V., Wagner, H., Craigon, P.J., Darzentas, D., De Ossorno Garcia, S., Dowthwaite, L., Greenhalgh, C., Middleton, S.E., Nichele, E., Wagner, C., Webb, H. (2024). Implementing responsible innovation: the role of the meso-level(s) between project and organisation. Journal of Responsible Innovation, Vol. 11, issue 1, Article 2370934. </w:t>
            </w:r>
            <w:r w:rsidRPr="005A5CB5">
              <w:rPr>
                <w:rFonts w:ascii="Arial" w:eastAsia="Times New Roman" w:hAnsi="Arial" w:cs="Arial"/>
                <w:color w:val="000000"/>
                <w:sz w:val="20"/>
                <w:szCs w:val="20"/>
                <w:lang w:eastAsia="en-GB"/>
              </w:rPr>
              <w:br/>
              <w:t xml:space="preserve">https://doi.org/10.1080/23299460.2024.2370934 </w:t>
            </w:r>
          </w:p>
        </w:tc>
        <w:tc>
          <w:tcPr>
            <w:tcW w:w="940" w:type="dxa"/>
            <w:tcBorders>
              <w:top w:val="nil"/>
              <w:left w:val="nil"/>
              <w:bottom w:val="single" w:sz="4" w:space="0" w:color="auto"/>
              <w:right w:val="single" w:sz="4" w:space="0" w:color="auto"/>
            </w:tcBorders>
            <w:shd w:val="clear" w:color="000000" w:fill="E7F1F9"/>
            <w:noWrap/>
            <w:vAlign w:val="bottom"/>
            <w:hideMark/>
          </w:tcPr>
          <w:p w14:paraId="34FBC49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1040" w:type="dxa"/>
            <w:tcBorders>
              <w:top w:val="nil"/>
              <w:left w:val="nil"/>
              <w:bottom w:val="single" w:sz="4" w:space="0" w:color="auto"/>
              <w:right w:val="single" w:sz="4" w:space="0" w:color="auto"/>
            </w:tcBorders>
            <w:shd w:val="clear" w:color="000000" w:fill="E7F1F9"/>
            <w:noWrap/>
            <w:vAlign w:val="bottom"/>
            <w:hideMark/>
          </w:tcPr>
          <w:p w14:paraId="39B18C1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55%</w:t>
            </w:r>
          </w:p>
        </w:tc>
        <w:tc>
          <w:tcPr>
            <w:tcW w:w="640" w:type="dxa"/>
            <w:tcBorders>
              <w:top w:val="nil"/>
              <w:left w:val="nil"/>
              <w:bottom w:val="single" w:sz="4" w:space="0" w:color="auto"/>
              <w:right w:val="single" w:sz="4" w:space="0" w:color="auto"/>
            </w:tcBorders>
            <w:shd w:val="clear" w:color="000000" w:fill="E7F1F9"/>
            <w:noWrap/>
            <w:vAlign w:val="bottom"/>
            <w:hideMark/>
          </w:tcPr>
          <w:p w14:paraId="6B57B01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0.37</w:t>
            </w:r>
          </w:p>
        </w:tc>
      </w:tr>
      <w:tr w:rsidR="005A5CB5" w:rsidRPr="005A5CB5" w14:paraId="55C334E7"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81DF77A"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French, B., Hall, C., Vallejos, E.P., Sayal, K., Daley, D. (2021). Evaluation of a web-based ADHD awareness training in primary care: Pilot randomized controlled trial with nested interviews. JMIR Medical </w:t>
            </w:r>
            <w:r w:rsidRPr="005A5CB5">
              <w:rPr>
                <w:rFonts w:ascii="Arial" w:eastAsia="Times New Roman" w:hAnsi="Arial" w:cs="Arial"/>
                <w:color w:val="000000"/>
                <w:sz w:val="20"/>
                <w:szCs w:val="20"/>
                <w:lang w:eastAsia="en-GB"/>
              </w:rPr>
              <w:lastRenderedPageBreak/>
              <w:t xml:space="preserve">Education, Vol. 6, issue 2, Article e19871. </w:t>
            </w:r>
            <w:r w:rsidRPr="005A5CB5">
              <w:rPr>
                <w:rFonts w:ascii="Arial" w:eastAsia="Times New Roman" w:hAnsi="Arial" w:cs="Arial"/>
                <w:color w:val="000000"/>
                <w:sz w:val="20"/>
                <w:szCs w:val="20"/>
                <w:lang w:eastAsia="en-GB"/>
              </w:rPr>
              <w:br/>
              <w:t xml:space="preserve">https://doi.org/10.2196/19871 </w:t>
            </w:r>
          </w:p>
        </w:tc>
        <w:tc>
          <w:tcPr>
            <w:tcW w:w="940" w:type="dxa"/>
            <w:tcBorders>
              <w:top w:val="nil"/>
              <w:left w:val="nil"/>
              <w:bottom w:val="single" w:sz="4" w:space="0" w:color="auto"/>
              <w:right w:val="single" w:sz="4" w:space="0" w:color="auto"/>
            </w:tcBorders>
            <w:noWrap/>
            <w:vAlign w:val="bottom"/>
            <w:hideMark/>
          </w:tcPr>
          <w:p w14:paraId="20ABBF6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lastRenderedPageBreak/>
              <w:t>7</w:t>
            </w:r>
          </w:p>
        </w:tc>
        <w:tc>
          <w:tcPr>
            <w:tcW w:w="1040" w:type="dxa"/>
            <w:tcBorders>
              <w:top w:val="nil"/>
              <w:left w:val="nil"/>
              <w:bottom w:val="single" w:sz="4" w:space="0" w:color="auto"/>
              <w:right w:val="single" w:sz="4" w:space="0" w:color="auto"/>
            </w:tcBorders>
            <w:noWrap/>
            <w:vAlign w:val="bottom"/>
            <w:hideMark/>
          </w:tcPr>
          <w:p w14:paraId="77DB12E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55%</w:t>
            </w:r>
          </w:p>
        </w:tc>
        <w:tc>
          <w:tcPr>
            <w:tcW w:w="640" w:type="dxa"/>
            <w:tcBorders>
              <w:top w:val="nil"/>
              <w:left w:val="nil"/>
              <w:bottom w:val="single" w:sz="4" w:space="0" w:color="auto"/>
              <w:right w:val="single" w:sz="4" w:space="0" w:color="auto"/>
            </w:tcBorders>
            <w:noWrap/>
            <w:vAlign w:val="bottom"/>
            <w:hideMark/>
          </w:tcPr>
          <w:p w14:paraId="2A71407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0.37</w:t>
            </w:r>
          </w:p>
        </w:tc>
      </w:tr>
      <w:tr w:rsidR="005A5CB5" w:rsidRPr="005A5CB5" w14:paraId="0EEC157A"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3CD15EAE"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Ali, Y., Rennick-Egglestone, S., Llewellyn-Beardsley, J., Ng, F., Yeo, C., Franklin, D., Perez Vallejos, E., Ben-Zeev, D., Kotera, Y., Slade, M. (2024). Perception and appropriation of a web-based recovery narratives intervention: qualitative interview study. Frontiers in Digital Health, Vol. 6, Article 1297935. </w:t>
            </w:r>
            <w:r w:rsidRPr="005A5CB5">
              <w:rPr>
                <w:rFonts w:ascii="Arial" w:eastAsia="Times New Roman" w:hAnsi="Arial" w:cs="Arial"/>
                <w:color w:val="000000"/>
                <w:sz w:val="20"/>
                <w:szCs w:val="20"/>
                <w:lang w:eastAsia="en-GB"/>
              </w:rPr>
              <w:br/>
              <w:t xml:space="preserve">https://doi.org/10.3389/fdgth.2024.1297935 </w:t>
            </w:r>
          </w:p>
        </w:tc>
        <w:tc>
          <w:tcPr>
            <w:tcW w:w="940" w:type="dxa"/>
            <w:tcBorders>
              <w:top w:val="nil"/>
              <w:left w:val="nil"/>
              <w:bottom w:val="single" w:sz="4" w:space="0" w:color="auto"/>
              <w:right w:val="single" w:sz="4" w:space="0" w:color="auto"/>
            </w:tcBorders>
            <w:shd w:val="clear" w:color="000000" w:fill="E7F1F9"/>
            <w:noWrap/>
            <w:vAlign w:val="bottom"/>
            <w:hideMark/>
          </w:tcPr>
          <w:p w14:paraId="472A0E1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w:t>
            </w:r>
          </w:p>
        </w:tc>
        <w:tc>
          <w:tcPr>
            <w:tcW w:w="1040" w:type="dxa"/>
            <w:tcBorders>
              <w:top w:val="nil"/>
              <w:left w:val="nil"/>
              <w:bottom w:val="single" w:sz="4" w:space="0" w:color="auto"/>
              <w:right w:val="single" w:sz="4" w:space="0" w:color="auto"/>
            </w:tcBorders>
            <w:shd w:val="clear" w:color="000000" w:fill="E7F1F9"/>
            <w:noWrap/>
            <w:vAlign w:val="bottom"/>
            <w:hideMark/>
          </w:tcPr>
          <w:p w14:paraId="336BF3E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56%</w:t>
            </w:r>
          </w:p>
        </w:tc>
        <w:tc>
          <w:tcPr>
            <w:tcW w:w="640" w:type="dxa"/>
            <w:tcBorders>
              <w:top w:val="nil"/>
              <w:left w:val="nil"/>
              <w:bottom w:val="single" w:sz="4" w:space="0" w:color="auto"/>
              <w:right w:val="single" w:sz="4" w:space="0" w:color="auto"/>
            </w:tcBorders>
            <w:shd w:val="clear" w:color="000000" w:fill="E7F1F9"/>
            <w:noWrap/>
            <w:vAlign w:val="bottom"/>
            <w:hideMark/>
          </w:tcPr>
          <w:p w14:paraId="4F79CE4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0.36</w:t>
            </w:r>
          </w:p>
        </w:tc>
      </w:tr>
      <w:tr w:rsidR="005A5CB5" w:rsidRPr="005A5CB5" w14:paraId="1A2578F2"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120090F6"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Ito-Jaeger, S., Lane, G., Dowthwaite, L., Webb, H., Patel, M., Rawsthorne, M., Portillo, V., Jirotka, M., Perez Vallejos, E. (2023). TrustScapes: A Visualisation Tool to Capture Stakeholders’ Concerns and Recommendations About Data Protection, Algorithmic Bias, and Online Safety. International Journal of Qualitative Methods, Vol. 22. </w:t>
            </w:r>
            <w:r w:rsidRPr="005A5CB5">
              <w:rPr>
                <w:rFonts w:ascii="Arial" w:eastAsia="Times New Roman" w:hAnsi="Arial" w:cs="Arial"/>
                <w:color w:val="000000"/>
                <w:sz w:val="20"/>
                <w:szCs w:val="20"/>
                <w:lang w:eastAsia="en-GB"/>
              </w:rPr>
              <w:br/>
              <w:t xml:space="preserve">https://doi.org/10.1177/16094069231186965 </w:t>
            </w:r>
          </w:p>
        </w:tc>
        <w:tc>
          <w:tcPr>
            <w:tcW w:w="940" w:type="dxa"/>
            <w:tcBorders>
              <w:top w:val="nil"/>
              <w:left w:val="nil"/>
              <w:bottom w:val="single" w:sz="4" w:space="0" w:color="auto"/>
              <w:right w:val="single" w:sz="4" w:space="0" w:color="auto"/>
            </w:tcBorders>
            <w:noWrap/>
            <w:vAlign w:val="bottom"/>
            <w:hideMark/>
          </w:tcPr>
          <w:p w14:paraId="3AC5E43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w:t>
            </w:r>
          </w:p>
        </w:tc>
        <w:tc>
          <w:tcPr>
            <w:tcW w:w="1040" w:type="dxa"/>
            <w:tcBorders>
              <w:top w:val="nil"/>
              <w:left w:val="nil"/>
              <w:bottom w:val="single" w:sz="4" w:space="0" w:color="auto"/>
              <w:right w:val="single" w:sz="4" w:space="0" w:color="auto"/>
            </w:tcBorders>
            <w:noWrap/>
            <w:vAlign w:val="bottom"/>
            <w:hideMark/>
          </w:tcPr>
          <w:p w14:paraId="54D0EA5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57%</w:t>
            </w:r>
          </w:p>
        </w:tc>
        <w:tc>
          <w:tcPr>
            <w:tcW w:w="640" w:type="dxa"/>
            <w:tcBorders>
              <w:top w:val="nil"/>
              <w:left w:val="nil"/>
              <w:bottom w:val="single" w:sz="4" w:space="0" w:color="auto"/>
              <w:right w:val="single" w:sz="4" w:space="0" w:color="auto"/>
            </w:tcBorders>
            <w:noWrap/>
            <w:vAlign w:val="bottom"/>
            <w:hideMark/>
          </w:tcPr>
          <w:p w14:paraId="6DBA2B8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0.35</w:t>
            </w:r>
          </w:p>
        </w:tc>
      </w:tr>
      <w:tr w:rsidR="005A5CB5" w:rsidRPr="005A5CB5" w14:paraId="7C438868"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2A9DA2B9"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Serin, E., Ritter, K., Schumann, G., Banaschewski, T., Marquand, A., Walter, H., Ogoh, G., Stahl, B.C., Brandlistuen, R., Schikowski, T., Young, A.H., Xinyang, Y., Zhang, Z., Agunbiade, K., Chen, D., Desrivières, S., Clinton, N., Thompson, P., Köhler, V., Schwalber, A., Calhoun, V.D., Chang, X., Zhang, Y., Li, Y., Dai, Y., Yuan, J., Xia, Y., Jia, T., Renner, P., Hese, S., Spanlang, B., Pearmund, C., Athanasiadis, A.-P., Petkoski, S., Jirsa, V., Schmitt, K., Wilbertz, J.H., Patraskaki, M., Sommer, P., Heilmann-Heimbach, S., Mathey, C.M., Miller, A.J., Claus, I., Nöthen, M.M., Hoffmann, P., Forstner, A.J., Pastor, A., Gallego, J., Itatani, R., Eiroa-Orosa, F., Feixas, G., Slater, M., Novarino, G., Böttger, S.J., Tschorn, M., Rapp, M., Ask, H., Kjelkenes, R., Fernandez, S., van der Meer, D., Westlye, L.T., Andreassen, O.A., Aden, R., Seefried, B., Nees, F., Neidhart, M., Stringaris, A., Schwarz, E., Holz, N., Tost, H., Meyer-Lindenberg, A., Christmann, N., Janson, K., Schepanski, K., Schütz, T., Taron, U.H., Eils, R., Roy, J.-C., Lett, T.A., Kebir, H., Polemiti, E., Hitchen, E., Jentsch, M., Serin, E., Bernas, A., Vaidya, N., Twardziok, S., Ralser, M., Heinz, A., Schumann, G. (2025). Generating synthetic task-based brain fingerprints for population neuroscience using deep learning. Communications Biology, Vol. 8, issue 1, Article 1572. </w:t>
            </w:r>
            <w:r w:rsidRPr="005A5CB5">
              <w:rPr>
                <w:rFonts w:ascii="Arial" w:eastAsia="Times New Roman" w:hAnsi="Arial" w:cs="Arial"/>
                <w:color w:val="000000"/>
                <w:sz w:val="20"/>
                <w:szCs w:val="20"/>
                <w:lang w:eastAsia="en-GB"/>
              </w:rPr>
              <w:br/>
              <w:t xml:space="preserve">https://doi.org/10.1038/s42003-025-09158-6 </w:t>
            </w:r>
          </w:p>
        </w:tc>
        <w:tc>
          <w:tcPr>
            <w:tcW w:w="940" w:type="dxa"/>
            <w:tcBorders>
              <w:top w:val="nil"/>
              <w:left w:val="nil"/>
              <w:bottom w:val="single" w:sz="4" w:space="0" w:color="auto"/>
              <w:right w:val="single" w:sz="4" w:space="0" w:color="auto"/>
            </w:tcBorders>
            <w:shd w:val="clear" w:color="000000" w:fill="E7F1F9"/>
            <w:noWrap/>
            <w:vAlign w:val="bottom"/>
            <w:hideMark/>
          </w:tcPr>
          <w:p w14:paraId="7C785FA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30F9AE2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50%</w:t>
            </w:r>
          </w:p>
        </w:tc>
        <w:tc>
          <w:tcPr>
            <w:tcW w:w="640" w:type="dxa"/>
            <w:tcBorders>
              <w:top w:val="nil"/>
              <w:left w:val="nil"/>
              <w:bottom w:val="single" w:sz="4" w:space="0" w:color="auto"/>
              <w:right w:val="single" w:sz="4" w:space="0" w:color="auto"/>
            </w:tcBorders>
            <w:shd w:val="clear" w:color="000000" w:fill="E7F1F9"/>
            <w:noWrap/>
            <w:vAlign w:val="bottom"/>
            <w:hideMark/>
          </w:tcPr>
          <w:p w14:paraId="759BFCF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0.33</w:t>
            </w:r>
          </w:p>
        </w:tc>
      </w:tr>
      <w:tr w:rsidR="005A5CB5" w:rsidRPr="005A5CB5" w14:paraId="31A38A42"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45D4FC7C"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Stahl, B.C., Schroeder, D., Rodrigues, R. (2024). </w:t>
            </w:r>
            <w:r w:rsidRPr="005A5CB5">
              <w:rPr>
                <w:rFonts w:ascii="Arial" w:eastAsia="Times New Roman" w:hAnsi="Arial" w:cs="Arial"/>
                <w:color w:val="000000"/>
                <w:sz w:val="20"/>
                <w:szCs w:val="20"/>
                <w:lang w:eastAsia="en-GB"/>
              </w:rPr>
              <w:t xml:space="preserve">Ethics of Artificial Intelligence: Case Studies and Options for Addressing Ethical Challenges (excerpt). Ekonomicheskaya Sotsiologiya, Vol. 25, issue 1, 85-95. </w:t>
            </w:r>
            <w:r w:rsidRPr="005A5CB5">
              <w:rPr>
                <w:rFonts w:ascii="Arial" w:eastAsia="Times New Roman" w:hAnsi="Arial" w:cs="Arial"/>
                <w:color w:val="000000"/>
                <w:sz w:val="20"/>
                <w:szCs w:val="20"/>
                <w:lang w:eastAsia="en-GB"/>
              </w:rPr>
              <w:br/>
              <w:t xml:space="preserve">https://doi.org/10.17323/1726-3247-2024-1-85-95 </w:t>
            </w:r>
          </w:p>
        </w:tc>
        <w:tc>
          <w:tcPr>
            <w:tcW w:w="940" w:type="dxa"/>
            <w:tcBorders>
              <w:top w:val="nil"/>
              <w:left w:val="nil"/>
              <w:bottom w:val="single" w:sz="4" w:space="0" w:color="auto"/>
              <w:right w:val="single" w:sz="4" w:space="0" w:color="auto"/>
            </w:tcBorders>
            <w:noWrap/>
            <w:vAlign w:val="bottom"/>
            <w:hideMark/>
          </w:tcPr>
          <w:p w14:paraId="16E700E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w:t>
            </w:r>
          </w:p>
        </w:tc>
        <w:tc>
          <w:tcPr>
            <w:tcW w:w="1040" w:type="dxa"/>
            <w:tcBorders>
              <w:top w:val="nil"/>
              <w:left w:val="nil"/>
              <w:bottom w:val="single" w:sz="4" w:space="0" w:color="auto"/>
              <w:right w:val="single" w:sz="4" w:space="0" w:color="auto"/>
            </w:tcBorders>
            <w:noWrap/>
            <w:vAlign w:val="bottom"/>
            <w:hideMark/>
          </w:tcPr>
          <w:p w14:paraId="37199DC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57%</w:t>
            </w:r>
          </w:p>
        </w:tc>
        <w:tc>
          <w:tcPr>
            <w:tcW w:w="640" w:type="dxa"/>
            <w:tcBorders>
              <w:top w:val="nil"/>
              <w:left w:val="nil"/>
              <w:bottom w:val="single" w:sz="4" w:space="0" w:color="auto"/>
              <w:right w:val="single" w:sz="4" w:space="0" w:color="auto"/>
            </w:tcBorders>
            <w:noWrap/>
            <w:vAlign w:val="bottom"/>
            <w:hideMark/>
          </w:tcPr>
          <w:p w14:paraId="6CC7375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0.33</w:t>
            </w:r>
          </w:p>
        </w:tc>
      </w:tr>
      <w:tr w:rsidR="005A5CB5" w:rsidRPr="005A5CB5" w14:paraId="0BF3C4E3"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69FBC48A"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Albury, C., Tremblett, M., Webb, H., Begh, R., Barnes, R., Lawrence, W., Walmsley, N., Groenewald, D., Caunter, M., Patel, D. (2023). Clinician-patient communication about emergency aerial medical evacuation in case of infectious disease. Journal of Travel Medicine, Vol. 30, issue 4, Article taad014. </w:t>
            </w:r>
            <w:r w:rsidRPr="005A5CB5">
              <w:rPr>
                <w:rFonts w:ascii="Arial" w:eastAsia="Times New Roman" w:hAnsi="Arial" w:cs="Arial"/>
                <w:color w:val="000000"/>
                <w:sz w:val="20"/>
                <w:szCs w:val="20"/>
                <w:lang w:eastAsia="en-GB"/>
              </w:rPr>
              <w:br/>
              <w:t xml:space="preserve">https://doi.org/10.1093/jtm/taad014 </w:t>
            </w:r>
          </w:p>
        </w:tc>
        <w:tc>
          <w:tcPr>
            <w:tcW w:w="940" w:type="dxa"/>
            <w:tcBorders>
              <w:top w:val="nil"/>
              <w:left w:val="nil"/>
              <w:bottom w:val="single" w:sz="4" w:space="0" w:color="auto"/>
              <w:right w:val="single" w:sz="4" w:space="0" w:color="auto"/>
            </w:tcBorders>
            <w:shd w:val="clear" w:color="000000" w:fill="E7F1F9"/>
            <w:noWrap/>
            <w:vAlign w:val="bottom"/>
            <w:hideMark/>
          </w:tcPr>
          <w:p w14:paraId="7AAFD5A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46A504C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60%</w:t>
            </w:r>
          </w:p>
        </w:tc>
        <w:tc>
          <w:tcPr>
            <w:tcW w:w="640" w:type="dxa"/>
            <w:tcBorders>
              <w:top w:val="nil"/>
              <w:left w:val="nil"/>
              <w:bottom w:val="single" w:sz="4" w:space="0" w:color="auto"/>
              <w:right w:val="single" w:sz="4" w:space="0" w:color="auto"/>
            </w:tcBorders>
            <w:shd w:val="clear" w:color="000000" w:fill="E7F1F9"/>
            <w:noWrap/>
            <w:vAlign w:val="bottom"/>
            <w:hideMark/>
          </w:tcPr>
          <w:p w14:paraId="43B4D8F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0.31</w:t>
            </w:r>
          </w:p>
        </w:tc>
      </w:tr>
      <w:tr w:rsidR="005A5CB5" w:rsidRPr="005A5CB5" w14:paraId="7D47C45E"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1D4ED71"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Zhao, J., Patel, M., Inglesant, P., Portillo, V., Webb, H., Dowthwaite, L., Fiddi, P., Legastelois, B., Vallejos, E.P., Rovatsos, M., Jirotka, M. (2023). Navigating the labyrinth of RI through a practical application — A case study in a cross-disciplinary research project. Journal of Responsible Technology, Vol. 15, Article 100064. </w:t>
            </w:r>
            <w:r w:rsidRPr="005A5CB5">
              <w:rPr>
                <w:rFonts w:ascii="Arial" w:eastAsia="Times New Roman" w:hAnsi="Arial" w:cs="Arial"/>
                <w:color w:val="000000"/>
                <w:sz w:val="20"/>
                <w:szCs w:val="20"/>
                <w:lang w:eastAsia="en-GB"/>
              </w:rPr>
              <w:br/>
              <w:t xml:space="preserve">https://doi.org/10.1016/j.jrt.2023.100064 </w:t>
            </w:r>
          </w:p>
        </w:tc>
        <w:tc>
          <w:tcPr>
            <w:tcW w:w="940" w:type="dxa"/>
            <w:tcBorders>
              <w:top w:val="nil"/>
              <w:left w:val="nil"/>
              <w:bottom w:val="single" w:sz="4" w:space="0" w:color="auto"/>
              <w:right w:val="single" w:sz="4" w:space="0" w:color="auto"/>
            </w:tcBorders>
            <w:noWrap/>
            <w:vAlign w:val="bottom"/>
            <w:hideMark/>
          </w:tcPr>
          <w:p w14:paraId="00A5CBA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1040" w:type="dxa"/>
            <w:tcBorders>
              <w:top w:val="nil"/>
              <w:left w:val="nil"/>
              <w:bottom w:val="single" w:sz="4" w:space="0" w:color="auto"/>
              <w:right w:val="single" w:sz="4" w:space="0" w:color="auto"/>
            </w:tcBorders>
            <w:noWrap/>
            <w:vAlign w:val="bottom"/>
            <w:hideMark/>
          </w:tcPr>
          <w:p w14:paraId="7381FFE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60%</w:t>
            </w:r>
          </w:p>
        </w:tc>
        <w:tc>
          <w:tcPr>
            <w:tcW w:w="640" w:type="dxa"/>
            <w:tcBorders>
              <w:top w:val="nil"/>
              <w:left w:val="nil"/>
              <w:bottom w:val="single" w:sz="4" w:space="0" w:color="auto"/>
              <w:right w:val="single" w:sz="4" w:space="0" w:color="auto"/>
            </w:tcBorders>
            <w:noWrap/>
            <w:vAlign w:val="bottom"/>
            <w:hideMark/>
          </w:tcPr>
          <w:p w14:paraId="5D43635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0.3</w:t>
            </w:r>
          </w:p>
        </w:tc>
      </w:tr>
      <w:tr w:rsidR="005A5CB5" w:rsidRPr="005A5CB5" w14:paraId="3AF7DA74"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5454555"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Cameron, H.R., Spors, V. (2023). The Museum is Dreaming: Re-Imagining the Museum through Feminist Values and Data Practices in Design Fiction. ACM International Conference Proceeding Series, 182-194. </w:t>
            </w:r>
            <w:r w:rsidRPr="005A5CB5">
              <w:rPr>
                <w:rFonts w:ascii="Arial" w:eastAsia="Times New Roman" w:hAnsi="Arial" w:cs="Arial"/>
                <w:color w:val="000000"/>
                <w:sz w:val="20"/>
                <w:szCs w:val="20"/>
                <w:lang w:eastAsia="en-GB"/>
              </w:rPr>
              <w:br/>
              <w:t xml:space="preserve">https://doi.org/10.1145/3616961.3616984 </w:t>
            </w:r>
          </w:p>
        </w:tc>
        <w:tc>
          <w:tcPr>
            <w:tcW w:w="940" w:type="dxa"/>
            <w:tcBorders>
              <w:top w:val="nil"/>
              <w:left w:val="nil"/>
              <w:bottom w:val="single" w:sz="4" w:space="0" w:color="auto"/>
              <w:right w:val="single" w:sz="4" w:space="0" w:color="auto"/>
            </w:tcBorders>
            <w:shd w:val="clear" w:color="000000" w:fill="E7F1F9"/>
            <w:noWrap/>
            <w:vAlign w:val="bottom"/>
            <w:hideMark/>
          </w:tcPr>
          <w:p w14:paraId="0D81990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w:t>
            </w:r>
          </w:p>
        </w:tc>
        <w:tc>
          <w:tcPr>
            <w:tcW w:w="1040" w:type="dxa"/>
            <w:tcBorders>
              <w:top w:val="nil"/>
              <w:left w:val="nil"/>
              <w:bottom w:val="single" w:sz="4" w:space="0" w:color="auto"/>
              <w:right w:val="single" w:sz="4" w:space="0" w:color="auto"/>
            </w:tcBorders>
            <w:shd w:val="clear" w:color="000000" w:fill="E7F1F9"/>
            <w:noWrap/>
            <w:vAlign w:val="bottom"/>
            <w:hideMark/>
          </w:tcPr>
          <w:p w14:paraId="3FD8A8D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62%</w:t>
            </w:r>
          </w:p>
        </w:tc>
        <w:tc>
          <w:tcPr>
            <w:tcW w:w="640" w:type="dxa"/>
            <w:tcBorders>
              <w:top w:val="nil"/>
              <w:left w:val="nil"/>
              <w:bottom w:val="single" w:sz="4" w:space="0" w:color="auto"/>
              <w:right w:val="single" w:sz="4" w:space="0" w:color="auto"/>
            </w:tcBorders>
            <w:shd w:val="clear" w:color="000000" w:fill="E7F1F9"/>
            <w:noWrap/>
            <w:vAlign w:val="bottom"/>
            <w:hideMark/>
          </w:tcPr>
          <w:p w14:paraId="75D301C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0.28</w:t>
            </w:r>
          </w:p>
        </w:tc>
      </w:tr>
      <w:tr w:rsidR="005A5CB5" w:rsidRPr="005A5CB5" w14:paraId="41F08EC5"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51845F98"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Brundell, P.R., Harlow, N., Cameron, H., Bowden, W. (2022). Rome is Where the Heart is: Designing Immersive Experiences to Augment and Build Personal Connections to Outdoor Environments. ACM International Conference Proceeding Series, 318-323. </w:t>
            </w:r>
            <w:r w:rsidRPr="005A5CB5">
              <w:rPr>
                <w:rFonts w:ascii="Arial" w:eastAsia="Times New Roman" w:hAnsi="Arial" w:cs="Arial"/>
                <w:color w:val="000000"/>
                <w:sz w:val="20"/>
                <w:szCs w:val="20"/>
                <w:lang w:eastAsia="en-GB"/>
              </w:rPr>
              <w:br/>
              <w:t xml:space="preserve">https://doi.org/10.1145/3569219.3569362 </w:t>
            </w:r>
          </w:p>
        </w:tc>
        <w:tc>
          <w:tcPr>
            <w:tcW w:w="940" w:type="dxa"/>
            <w:tcBorders>
              <w:top w:val="nil"/>
              <w:left w:val="nil"/>
              <w:bottom w:val="single" w:sz="4" w:space="0" w:color="auto"/>
              <w:right w:val="single" w:sz="4" w:space="0" w:color="auto"/>
            </w:tcBorders>
            <w:noWrap/>
            <w:vAlign w:val="bottom"/>
            <w:hideMark/>
          </w:tcPr>
          <w:p w14:paraId="5E5420A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w:t>
            </w:r>
          </w:p>
        </w:tc>
        <w:tc>
          <w:tcPr>
            <w:tcW w:w="1040" w:type="dxa"/>
            <w:tcBorders>
              <w:top w:val="nil"/>
              <w:left w:val="nil"/>
              <w:bottom w:val="single" w:sz="4" w:space="0" w:color="auto"/>
              <w:right w:val="single" w:sz="4" w:space="0" w:color="auto"/>
            </w:tcBorders>
            <w:noWrap/>
            <w:vAlign w:val="bottom"/>
            <w:hideMark/>
          </w:tcPr>
          <w:p w14:paraId="5C76CAF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65%</w:t>
            </w:r>
          </w:p>
        </w:tc>
        <w:tc>
          <w:tcPr>
            <w:tcW w:w="640" w:type="dxa"/>
            <w:tcBorders>
              <w:top w:val="nil"/>
              <w:left w:val="nil"/>
              <w:bottom w:val="single" w:sz="4" w:space="0" w:color="auto"/>
              <w:right w:val="single" w:sz="4" w:space="0" w:color="auto"/>
            </w:tcBorders>
            <w:noWrap/>
            <w:vAlign w:val="bottom"/>
            <w:hideMark/>
          </w:tcPr>
          <w:p w14:paraId="5454529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0.25</w:t>
            </w:r>
          </w:p>
        </w:tc>
      </w:tr>
      <w:tr w:rsidR="005A5CB5" w:rsidRPr="005A5CB5" w14:paraId="5144B4F4"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4A1EC57"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Spence, J., Darzentas, D., Cameron, H., Huang, Y., Adams, M., Farr, J.R., Tandavanitj, N., Benford, S. (2022). Gifting in Museums: Using Multiple Time Orientations to Heighten Present-Moment Engagement. Human-Computer Interaction, Vol. 37, issue 2, 180-210. </w:t>
            </w:r>
            <w:r w:rsidRPr="005A5CB5">
              <w:rPr>
                <w:rFonts w:ascii="Arial" w:eastAsia="Times New Roman" w:hAnsi="Arial" w:cs="Arial"/>
                <w:color w:val="000000"/>
                <w:sz w:val="20"/>
                <w:szCs w:val="20"/>
                <w:lang w:eastAsia="en-GB"/>
              </w:rPr>
              <w:br/>
              <w:t xml:space="preserve">https://doi.org/10.1080/07370024.2021.1923496 </w:t>
            </w:r>
          </w:p>
        </w:tc>
        <w:tc>
          <w:tcPr>
            <w:tcW w:w="940" w:type="dxa"/>
            <w:tcBorders>
              <w:top w:val="nil"/>
              <w:left w:val="nil"/>
              <w:bottom w:val="single" w:sz="4" w:space="0" w:color="auto"/>
              <w:right w:val="single" w:sz="4" w:space="0" w:color="auto"/>
            </w:tcBorders>
            <w:shd w:val="clear" w:color="000000" w:fill="E7F1F9"/>
            <w:noWrap/>
            <w:vAlign w:val="bottom"/>
            <w:hideMark/>
          </w:tcPr>
          <w:p w14:paraId="12F4981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4</w:t>
            </w:r>
          </w:p>
        </w:tc>
        <w:tc>
          <w:tcPr>
            <w:tcW w:w="1040" w:type="dxa"/>
            <w:tcBorders>
              <w:top w:val="nil"/>
              <w:left w:val="nil"/>
              <w:bottom w:val="single" w:sz="4" w:space="0" w:color="auto"/>
              <w:right w:val="single" w:sz="4" w:space="0" w:color="auto"/>
            </w:tcBorders>
            <w:shd w:val="clear" w:color="000000" w:fill="E7F1F9"/>
            <w:noWrap/>
            <w:vAlign w:val="bottom"/>
            <w:hideMark/>
          </w:tcPr>
          <w:p w14:paraId="4C7BF6C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65%</w:t>
            </w:r>
          </w:p>
        </w:tc>
        <w:tc>
          <w:tcPr>
            <w:tcW w:w="640" w:type="dxa"/>
            <w:tcBorders>
              <w:top w:val="nil"/>
              <w:left w:val="nil"/>
              <w:bottom w:val="single" w:sz="4" w:space="0" w:color="auto"/>
              <w:right w:val="single" w:sz="4" w:space="0" w:color="auto"/>
            </w:tcBorders>
            <w:shd w:val="clear" w:color="000000" w:fill="E7F1F9"/>
            <w:noWrap/>
            <w:vAlign w:val="bottom"/>
            <w:hideMark/>
          </w:tcPr>
          <w:p w14:paraId="4AB65E1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0.25</w:t>
            </w:r>
          </w:p>
        </w:tc>
      </w:tr>
      <w:tr w:rsidR="005A5CB5" w:rsidRPr="005A5CB5" w14:paraId="297D42EF"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53DEE69B"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t xml:space="preserve">Palazzolo, P., Stahl, B., Webb, H. (2024). </w:t>
            </w:r>
            <w:r w:rsidRPr="005A5CB5">
              <w:rPr>
                <w:rFonts w:ascii="Arial" w:eastAsia="Times New Roman" w:hAnsi="Arial" w:cs="Arial"/>
                <w:color w:val="000000"/>
                <w:sz w:val="20"/>
                <w:szCs w:val="20"/>
                <w:lang w:eastAsia="en-GB"/>
              </w:rPr>
              <w:t xml:space="preserve">Measurable Trust: The Key to Unlocking User Confidence in Black-Box AI. ACM International Conference Proceeding Series, Article 18. </w:t>
            </w:r>
            <w:r w:rsidRPr="005A5CB5">
              <w:rPr>
                <w:rFonts w:ascii="Arial" w:eastAsia="Times New Roman" w:hAnsi="Arial" w:cs="Arial"/>
                <w:color w:val="000000"/>
                <w:sz w:val="20"/>
                <w:szCs w:val="20"/>
                <w:lang w:eastAsia="en-GB"/>
              </w:rPr>
              <w:br/>
              <w:t xml:space="preserve">https://doi.org/10.1145/3686038.3686058 </w:t>
            </w:r>
          </w:p>
        </w:tc>
        <w:tc>
          <w:tcPr>
            <w:tcW w:w="940" w:type="dxa"/>
            <w:tcBorders>
              <w:top w:val="nil"/>
              <w:left w:val="nil"/>
              <w:bottom w:val="single" w:sz="4" w:space="0" w:color="auto"/>
              <w:right w:val="single" w:sz="4" w:space="0" w:color="auto"/>
            </w:tcBorders>
            <w:noWrap/>
            <w:vAlign w:val="bottom"/>
            <w:hideMark/>
          </w:tcPr>
          <w:p w14:paraId="2941ACB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noWrap/>
            <w:vAlign w:val="bottom"/>
            <w:hideMark/>
          </w:tcPr>
          <w:p w14:paraId="578BAB3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63%</w:t>
            </w:r>
          </w:p>
        </w:tc>
        <w:tc>
          <w:tcPr>
            <w:tcW w:w="640" w:type="dxa"/>
            <w:tcBorders>
              <w:top w:val="nil"/>
              <w:left w:val="nil"/>
              <w:bottom w:val="single" w:sz="4" w:space="0" w:color="auto"/>
              <w:right w:val="single" w:sz="4" w:space="0" w:color="auto"/>
            </w:tcBorders>
            <w:noWrap/>
            <w:vAlign w:val="bottom"/>
            <w:hideMark/>
          </w:tcPr>
          <w:p w14:paraId="24353D4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0.23</w:t>
            </w:r>
          </w:p>
        </w:tc>
      </w:tr>
      <w:tr w:rsidR="005A5CB5" w:rsidRPr="005A5CB5" w14:paraId="25881F8F"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57D98C0"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Webb, H., Fitzroy-Dale, N., Aqeel, S., Piskopani, A.-M., Stafford-Fraser, Q., Nikolaou, C., Dowthwaite, L., McAuley, D., Hargreaves, C. (2024). Responsible AI in Policing. ACM International Conference Proceeding Series, Article 35. </w:t>
            </w:r>
            <w:r w:rsidRPr="005A5CB5">
              <w:rPr>
                <w:rFonts w:ascii="Arial" w:eastAsia="Times New Roman" w:hAnsi="Arial" w:cs="Arial"/>
                <w:color w:val="000000"/>
                <w:sz w:val="20"/>
                <w:szCs w:val="20"/>
                <w:lang w:eastAsia="en-GB"/>
              </w:rPr>
              <w:br/>
              <w:t xml:space="preserve">https://doi.org/10.1145/3686038.3686070 </w:t>
            </w:r>
          </w:p>
        </w:tc>
        <w:tc>
          <w:tcPr>
            <w:tcW w:w="940" w:type="dxa"/>
            <w:tcBorders>
              <w:top w:val="nil"/>
              <w:left w:val="nil"/>
              <w:bottom w:val="single" w:sz="4" w:space="0" w:color="auto"/>
              <w:right w:val="single" w:sz="4" w:space="0" w:color="auto"/>
            </w:tcBorders>
            <w:shd w:val="clear" w:color="000000" w:fill="E7F1F9"/>
            <w:noWrap/>
            <w:vAlign w:val="bottom"/>
            <w:hideMark/>
          </w:tcPr>
          <w:p w14:paraId="7E59D3F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572693B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63%</w:t>
            </w:r>
          </w:p>
        </w:tc>
        <w:tc>
          <w:tcPr>
            <w:tcW w:w="640" w:type="dxa"/>
            <w:tcBorders>
              <w:top w:val="nil"/>
              <w:left w:val="nil"/>
              <w:bottom w:val="single" w:sz="4" w:space="0" w:color="auto"/>
              <w:right w:val="single" w:sz="4" w:space="0" w:color="auto"/>
            </w:tcBorders>
            <w:shd w:val="clear" w:color="000000" w:fill="E7F1F9"/>
            <w:noWrap/>
            <w:vAlign w:val="bottom"/>
            <w:hideMark/>
          </w:tcPr>
          <w:p w14:paraId="7DFE72D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0.23</w:t>
            </w:r>
          </w:p>
        </w:tc>
      </w:tr>
      <w:tr w:rsidR="005A5CB5" w:rsidRPr="005A5CB5" w14:paraId="3D7EAEEC"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722F8431"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Owoseni, A., Ten Holter, C. (2025). The roles of responsible innovation researchers in research projects. Journal of Responsible Innovation, Vol. 12, issue 1, Article 2466897. </w:t>
            </w:r>
            <w:r w:rsidRPr="005A5CB5">
              <w:rPr>
                <w:rFonts w:ascii="Arial" w:eastAsia="Times New Roman" w:hAnsi="Arial" w:cs="Arial"/>
                <w:color w:val="000000"/>
                <w:sz w:val="20"/>
                <w:szCs w:val="20"/>
                <w:lang w:eastAsia="en-GB"/>
              </w:rPr>
              <w:br/>
              <w:t xml:space="preserve">https://doi.org/10.1080/23299460.2025.2466897 </w:t>
            </w:r>
          </w:p>
        </w:tc>
        <w:tc>
          <w:tcPr>
            <w:tcW w:w="940" w:type="dxa"/>
            <w:tcBorders>
              <w:top w:val="nil"/>
              <w:left w:val="nil"/>
              <w:bottom w:val="single" w:sz="4" w:space="0" w:color="auto"/>
              <w:right w:val="single" w:sz="4" w:space="0" w:color="auto"/>
            </w:tcBorders>
            <w:noWrap/>
            <w:vAlign w:val="bottom"/>
            <w:hideMark/>
          </w:tcPr>
          <w:p w14:paraId="23EF447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noWrap/>
            <w:vAlign w:val="bottom"/>
            <w:hideMark/>
          </w:tcPr>
          <w:p w14:paraId="2D21414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55%</w:t>
            </w:r>
          </w:p>
        </w:tc>
        <w:tc>
          <w:tcPr>
            <w:tcW w:w="640" w:type="dxa"/>
            <w:tcBorders>
              <w:top w:val="nil"/>
              <w:left w:val="nil"/>
              <w:bottom w:val="single" w:sz="4" w:space="0" w:color="auto"/>
              <w:right w:val="single" w:sz="4" w:space="0" w:color="auto"/>
            </w:tcBorders>
            <w:noWrap/>
            <w:vAlign w:val="bottom"/>
            <w:hideMark/>
          </w:tcPr>
          <w:p w14:paraId="6FD0EF7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0.22</w:t>
            </w:r>
          </w:p>
        </w:tc>
      </w:tr>
      <w:tr w:rsidR="005A5CB5" w:rsidRPr="005A5CB5" w14:paraId="7B1CF0AF"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0096ABA"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Cameron, H., Story, M., Reyes-Cruz, G., Galvez Trigo, M.J. (2023). </w:t>
            </w:r>
            <w:r w:rsidRPr="005A5CB5">
              <w:rPr>
                <w:rFonts w:ascii="Arial" w:eastAsia="Times New Roman" w:hAnsi="Arial" w:cs="Arial"/>
                <w:color w:val="000000"/>
                <w:sz w:val="20"/>
                <w:szCs w:val="20"/>
                <w:lang w:eastAsia="en-GB"/>
              </w:rPr>
              <w:t xml:space="preserve">Co-creating Museum Robots with People That Are Autistic and/or Have Learning Disabilities. ACM International Conference Proceeding Series, Article 25. </w:t>
            </w:r>
            <w:r w:rsidRPr="005A5CB5">
              <w:rPr>
                <w:rFonts w:ascii="Arial" w:eastAsia="Times New Roman" w:hAnsi="Arial" w:cs="Arial"/>
                <w:color w:val="000000"/>
                <w:sz w:val="20"/>
                <w:szCs w:val="20"/>
                <w:lang w:eastAsia="en-GB"/>
              </w:rPr>
              <w:br/>
              <w:t xml:space="preserve">https://doi.org/10.1145/3597512.3597525 </w:t>
            </w:r>
          </w:p>
        </w:tc>
        <w:tc>
          <w:tcPr>
            <w:tcW w:w="940" w:type="dxa"/>
            <w:tcBorders>
              <w:top w:val="nil"/>
              <w:left w:val="nil"/>
              <w:bottom w:val="single" w:sz="4" w:space="0" w:color="auto"/>
              <w:right w:val="single" w:sz="4" w:space="0" w:color="auto"/>
            </w:tcBorders>
            <w:shd w:val="clear" w:color="000000" w:fill="E7F1F9"/>
            <w:noWrap/>
            <w:vAlign w:val="bottom"/>
            <w:hideMark/>
          </w:tcPr>
          <w:p w14:paraId="445036F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545A647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71%</w:t>
            </w:r>
          </w:p>
        </w:tc>
        <w:tc>
          <w:tcPr>
            <w:tcW w:w="640" w:type="dxa"/>
            <w:tcBorders>
              <w:top w:val="nil"/>
              <w:left w:val="nil"/>
              <w:bottom w:val="single" w:sz="4" w:space="0" w:color="auto"/>
              <w:right w:val="single" w:sz="4" w:space="0" w:color="auto"/>
            </w:tcBorders>
            <w:shd w:val="clear" w:color="000000" w:fill="E7F1F9"/>
            <w:noWrap/>
            <w:vAlign w:val="bottom"/>
            <w:hideMark/>
          </w:tcPr>
          <w:p w14:paraId="2ACC4FC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0.14</w:t>
            </w:r>
          </w:p>
        </w:tc>
      </w:tr>
      <w:tr w:rsidR="005A5CB5" w:rsidRPr="005A5CB5" w14:paraId="57B8C363"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04A6BA7"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Piskopani, A.M., Webb, H., Caleb-Solly, P. (2023). Using a Knowledge Café approach as a public engagement activity for raising awareness of data protection issues in robotics for health and social care. ACM International Conference Proceeding Series, Article 30. </w:t>
            </w:r>
            <w:r w:rsidRPr="005A5CB5">
              <w:rPr>
                <w:rFonts w:ascii="Arial" w:eastAsia="Times New Roman" w:hAnsi="Arial" w:cs="Arial"/>
                <w:color w:val="000000"/>
                <w:sz w:val="20"/>
                <w:szCs w:val="20"/>
                <w:lang w:eastAsia="en-GB"/>
              </w:rPr>
              <w:br/>
              <w:t xml:space="preserve">https://doi.org/10.1145/3597512.3599700 </w:t>
            </w:r>
          </w:p>
        </w:tc>
        <w:tc>
          <w:tcPr>
            <w:tcW w:w="940" w:type="dxa"/>
            <w:tcBorders>
              <w:top w:val="nil"/>
              <w:left w:val="nil"/>
              <w:bottom w:val="single" w:sz="4" w:space="0" w:color="auto"/>
              <w:right w:val="single" w:sz="4" w:space="0" w:color="auto"/>
            </w:tcBorders>
            <w:noWrap/>
            <w:vAlign w:val="bottom"/>
            <w:hideMark/>
          </w:tcPr>
          <w:p w14:paraId="6210A5B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noWrap/>
            <w:vAlign w:val="bottom"/>
            <w:hideMark/>
          </w:tcPr>
          <w:p w14:paraId="33B2DC6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71%</w:t>
            </w:r>
          </w:p>
        </w:tc>
        <w:tc>
          <w:tcPr>
            <w:tcW w:w="640" w:type="dxa"/>
            <w:tcBorders>
              <w:top w:val="nil"/>
              <w:left w:val="nil"/>
              <w:bottom w:val="single" w:sz="4" w:space="0" w:color="auto"/>
              <w:right w:val="single" w:sz="4" w:space="0" w:color="auto"/>
            </w:tcBorders>
            <w:noWrap/>
            <w:vAlign w:val="bottom"/>
            <w:hideMark/>
          </w:tcPr>
          <w:p w14:paraId="6FBD998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0.14</w:t>
            </w:r>
          </w:p>
        </w:tc>
      </w:tr>
      <w:tr w:rsidR="005A5CB5" w:rsidRPr="005A5CB5" w14:paraId="51861ABA"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662C8EE5"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Bitsch, L. (2023). Building a responsible innovation toolkit as project legacy. Frontiers in Research Metrics and Analytics, Vol. 8, Article 1112106. </w:t>
            </w:r>
            <w:r w:rsidRPr="005A5CB5">
              <w:rPr>
                <w:rFonts w:ascii="Arial" w:eastAsia="Times New Roman" w:hAnsi="Arial" w:cs="Arial"/>
                <w:color w:val="000000"/>
                <w:sz w:val="20"/>
                <w:szCs w:val="20"/>
                <w:lang w:eastAsia="en-GB"/>
              </w:rPr>
              <w:br/>
              <w:t xml:space="preserve">https://doi.org/10.3389/frma.2023.1112106 </w:t>
            </w:r>
          </w:p>
        </w:tc>
        <w:tc>
          <w:tcPr>
            <w:tcW w:w="940" w:type="dxa"/>
            <w:tcBorders>
              <w:top w:val="nil"/>
              <w:left w:val="nil"/>
              <w:bottom w:val="single" w:sz="4" w:space="0" w:color="auto"/>
              <w:right w:val="single" w:sz="4" w:space="0" w:color="auto"/>
            </w:tcBorders>
            <w:shd w:val="clear" w:color="000000" w:fill="E7F1F9"/>
            <w:noWrap/>
            <w:vAlign w:val="bottom"/>
            <w:hideMark/>
          </w:tcPr>
          <w:p w14:paraId="5672D08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1</w:t>
            </w:r>
          </w:p>
        </w:tc>
        <w:tc>
          <w:tcPr>
            <w:tcW w:w="1040" w:type="dxa"/>
            <w:tcBorders>
              <w:top w:val="nil"/>
              <w:left w:val="nil"/>
              <w:bottom w:val="single" w:sz="4" w:space="0" w:color="auto"/>
              <w:right w:val="single" w:sz="4" w:space="0" w:color="auto"/>
            </w:tcBorders>
            <w:shd w:val="clear" w:color="000000" w:fill="E7F1F9"/>
            <w:noWrap/>
            <w:vAlign w:val="bottom"/>
            <w:hideMark/>
          </w:tcPr>
          <w:p w14:paraId="0DB726D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73%</w:t>
            </w:r>
          </w:p>
        </w:tc>
        <w:tc>
          <w:tcPr>
            <w:tcW w:w="640" w:type="dxa"/>
            <w:tcBorders>
              <w:top w:val="nil"/>
              <w:left w:val="nil"/>
              <w:bottom w:val="single" w:sz="4" w:space="0" w:color="auto"/>
              <w:right w:val="single" w:sz="4" w:space="0" w:color="auto"/>
            </w:tcBorders>
            <w:shd w:val="clear" w:color="000000" w:fill="E7F1F9"/>
            <w:noWrap/>
            <w:vAlign w:val="bottom"/>
            <w:hideMark/>
          </w:tcPr>
          <w:p w14:paraId="4658A38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0.12</w:t>
            </w:r>
          </w:p>
        </w:tc>
      </w:tr>
      <w:tr w:rsidR="005A5CB5" w:rsidRPr="005A5CB5" w14:paraId="65FABA9B"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0BC439D"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vom Lehn, D., Allen, P.M., Webb, H., Evans, B.J.W., Bowen, M., Dobrzycki, H. (2022). Impacting communication in optometry: enhancing health-service experiences. European Journal of Marketing, Vol. 56, issue 9, 2546-2557. </w:t>
            </w:r>
            <w:r w:rsidRPr="005A5CB5">
              <w:rPr>
                <w:rFonts w:ascii="Arial" w:eastAsia="Times New Roman" w:hAnsi="Arial" w:cs="Arial"/>
                <w:color w:val="000000"/>
                <w:sz w:val="20"/>
                <w:szCs w:val="20"/>
                <w:lang w:eastAsia="en-GB"/>
              </w:rPr>
              <w:br/>
              <w:t xml:space="preserve">https://doi.org/10.1108/EJM-02-2022-0130 </w:t>
            </w:r>
          </w:p>
        </w:tc>
        <w:tc>
          <w:tcPr>
            <w:tcW w:w="940" w:type="dxa"/>
            <w:tcBorders>
              <w:top w:val="nil"/>
              <w:left w:val="nil"/>
              <w:bottom w:val="single" w:sz="4" w:space="0" w:color="auto"/>
              <w:right w:val="single" w:sz="4" w:space="0" w:color="auto"/>
            </w:tcBorders>
            <w:noWrap/>
            <w:vAlign w:val="bottom"/>
            <w:hideMark/>
          </w:tcPr>
          <w:p w14:paraId="717AA30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3</w:t>
            </w:r>
          </w:p>
        </w:tc>
        <w:tc>
          <w:tcPr>
            <w:tcW w:w="1040" w:type="dxa"/>
            <w:tcBorders>
              <w:top w:val="nil"/>
              <w:left w:val="nil"/>
              <w:bottom w:val="single" w:sz="4" w:space="0" w:color="auto"/>
              <w:right w:val="single" w:sz="4" w:space="0" w:color="auto"/>
            </w:tcBorders>
            <w:noWrap/>
            <w:vAlign w:val="bottom"/>
            <w:hideMark/>
          </w:tcPr>
          <w:p w14:paraId="08CDC20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80%</w:t>
            </w:r>
          </w:p>
        </w:tc>
        <w:tc>
          <w:tcPr>
            <w:tcW w:w="640" w:type="dxa"/>
            <w:tcBorders>
              <w:top w:val="nil"/>
              <w:left w:val="nil"/>
              <w:bottom w:val="single" w:sz="4" w:space="0" w:color="auto"/>
              <w:right w:val="single" w:sz="4" w:space="0" w:color="auto"/>
            </w:tcBorders>
            <w:noWrap/>
            <w:vAlign w:val="bottom"/>
            <w:hideMark/>
          </w:tcPr>
          <w:p w14:paraId="58984E2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0.04</w:t>
            </w:r>
          </w:p>
        </w:tc>
      </w:tr>
      <w:tr w:rsidR="005A5CB5" w:rsidRPr="005A5CB5" w14:paraId="6F5BDC80"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5ED5ABFE"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Aurangzeb Khan, B., Spors, V., Cameron, A.R., Pirkkalainen, H., Hamari, J. (2026). Can't See Nature for the Trees: A Literature Review about Virtual Nature for Well-Being. Conference on Human Factors in Computing Systems - Proceedings , Article 191. </w:t>
            </w:r>
            <w:r w:rsidRPr="005A5CB5">
              <w:rPr>
                <w:rFonts w:ascii="Arial" w:eastAsia="Times New Roman" w:hAnsi="Arial" w:cs="Arial"/>
                <w:color w:val="000000"/>
                <w:sz w:val="20"/>
                <w:szCs w:val="20"/>
                <w:lang w:eastAsia="en-GB"/>
              </w:rPr>
              <w:br/>
              <w:t xml:space="preserve">https://doi.org/10.1145/3772318.3790367 </w:t>
            </w:r>
          </w:p>
        </w:tc>
        <w:tc>
          <w:tcPr>
            <w:tcW w:w="940" w:type="dxa"/>
            <w:tcBorders>
              <w:top w:val="nil"/>
              <w:left w:val="nil"/>
              <w:bottom w:val="single" w:sz="4" w:space="0" w:color="auto"/>
              <w:right w:val="single" w:sz="4" w:space="0" w:color="auto"/>
            </w:tcBorders>
            <w:shd w:val="clear" w:color="000000" w:fill="E7F1F9"/>
            <w:noWrap/>
            <w:vAlign w:val="bottom"/>
            <w:hideMark/>
          </w:tcPr>
          <w:p w14:paraId="4634076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550C522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shd w:val="clear" w:color="000000" w:fill="E7F1F9"/>
            <w:noWrap/>
            <w:vAlign w:val="bottom"/>
            <w:hideMark/>
          </w:tcPr>
          <w:p w14:paraId="54B99A28"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7A31524F"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322710E3"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Mikhaylova, A., Wilford, S., Stahl, B., Brooks, L. (2026). Smart Doorbells in a Surveillance Society. Lecture Notes in Computer Science, Vol. 15939, 451-463. </w:t>
            </w:r>
            <w:r w:rsidRPr="005A5CB5">
              <w:rPr>
                <w:rFonts w:ascii="Arial" w:eastAsia="Times New Roman" w:hAnsi="Arial" w:cs="Arial"/>
                <w:color w:val="000000"/>
                <w:sz w:val="20"/>
                <w:szCs w:val="20"/>
                <w:lang w:eastAsia="en-GB"/>
              </w:rPr>
              <w:br/>
              <w:t xml:space="preserve">https://doi.org/10.1007/978-3-032-01429-0_39 </w:t>
            </w:r>
          </w:p>
        </w:tc>
        <w:tc>
          <w:tcPr>
            <w:tcW w:w="940" w:type="dxa"/>
            <w:tcBorders>
              <w:top w:val="nil"/>
              <w:left w:val="nil"/>
              <w:bottom w:val="single" w:sz="4" w:space="0" w:color="auto"/>
              <w:right w:val="single" w:sz="4" w:space="0" w:color="auto"/>
            </w:tcBorders>
            <w:noWrap/>
            <w:vAlign w:val="bottom"/>
            <w:hideMark/>
          </w:tcPr>
          <w:p w14:paraId="1FBFAE0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1783388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noWrap/>
            <w:vAlign w:val="bottom"/>
            <w:hideMark/>
          </w:tcPr>
          <w:p w14:paraId="201C568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4D9FEC7D"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512FA0E7"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nl-BE" w:eastAsia="en-GB"/>
              </w:rPr>
              <w:t xml:space="preserve">Smolka, M., Neudert, P., Böschen, S., Stahl, B.C., Klerkx, L. (2026). </w:t>
            </w:r>
            <w:r w:rsidRPr="005A5CB5">
              <w:rPr>
                <w:rFonts w:ascii="Arial" w:eastAsia="Times New Roman" w:hAnsi="Arial" w:cs="Arial"/>
                <w:color w:val="000000"/>
                <w:sz w:val="20"/>
                <w:szCs w:val="20"/>
                <w:lang w:eastAsia="en-GB"/>
              </w:rPr>
              <w:t xml:space="preserve">Categorizing realist, critical, and pragmatist perspectives on innovation ecosystems: A research agenda and an initial application to artificial intelligence. Technological Forecasting and Social Change, Vol. 229, Article 124719. </w:t>
            </w:r>
            <w:r w:rsidRPr="005A5CB5">
              <w:rPr>
                <w:rFonts w:ascii="Arial" w:eastAsia="Times New Roman" w:hAnsi="Arial" w:cs="Arial"/>
                <w:color w:val="000000"/>
                <w:sz w:val="20"/>
                <w:szCs w:val="20"/>
                <w:lang w:eastAsia="en-GB"/>
              </w:rPr>
              <w:br/>
              <w:t xml:space="preserve">https://doi.org/10.1016/j.techfore.2026.124719 </w:t>
            </w:r>
          </w:p>
        </w:tc>
        <w:tc>
          <w:tcPr>
            <w:tcW w:w="940" w:type="dxa"/>
            <w:tcBorders>
              <w:top w:val="nil"/>
              <w:left w:val="nil"/>
              <w:bottom w:val="single" w:sz="4" w:space="0" w:color="auto"/>
              <w:right w:val="single" w:sz="4" w:space="0" w:color="auto"/>
            </w:tcBorders>
            <w:shd w:val="clear" w:color="000000" w:fill="E7F1F9"/>
            <w:noWrap/>
            <w:vAlign w:val="bottom"/>
            <w:hideMark/>
          </w:tcPr>
          <w:p w14:paraId="2B3C8FA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4D604D1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shd w:val="clear" w:color="000000" w:fill="E7F1F9"/>
            <w:noWrap/>
            <w:vAlign w:val="bottom"/>
            <w:hideMark/>
          </w:tcPr>
          <w:p w14:paraId="027B420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2CF72184"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0B40663C"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Abrams, M., Eke, D.O., Passecker, J., Poline, J.B., Van Horn, J., Marín, M. (2026). Bridging the neuro-AI chasm: a framework for scalable, contextually adaptive training resources in large-scale brain data science. Frontiers in Psychology, Vol. 17, Article 1849742. </w:t>
            </w:r>
            <w:r w:rsidRPr="005A5CB5">
              <w:rPr>
                <w:rFonts w:ascii="Arial" w:eastAsia="Times New Roman" w:hAnsi="Arial" w:cs="Arial"/>
                <w:color w:val="000000"/>
                <w:sz w:val="20"/>
                <w:szCs w:val="20"/>
                <w:lang w:eastAsia="en-GB"/>
              </w:rPr>
              <w:br/>
              <w:t xml:space="preserve">https://doi.org/10.3389/fpsyg.2026.1849742 </w:t>
            </w:r>
          </w:p>
        </w:tc>
        <w:tc>
          <w:tcPr>
            <w:tcW w:w="940" w:type="dxa"/>
            <w:tcBorders>
              <w:top w:val="nil"/>
              <w:left w:val="nil"/>
              <w:bottom w:val="single" w:sz="4" w:space="0" w:color="auto"/>
              <w:right w:val="single" w:sz="4" w:space="0" w:color="auto"/>
            </w:tcBorders>
            <w:noWrap/>
            <w:vAlign w:val="bottom"/>
            <w:hideMark/>
          </w:tcPr>
          <w:p w14:paraId="409EC8B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2686E1C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noWrap/>
            <w:vAlign w:val="bottom"/>
            <w:hideMark/>
          </w:tcPr>
          <w:p w14:paraId="1F91871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7A5339F9"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1FCDA158"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Jentsch, M., Polemiti, E., Renner, P., Hese, S., Schepanski, K., Eils, R., Marquand, A., Twardziok, S., Schumann, G., Zhang, Z., Zhang, Y., Yuan, J., Yu, X., Young, A.H., Xia, Y., Wilbertz, J.H., Westlye, L.T., Walter, H., van der Meer, D., Vaidya, N., Tschorn, M., Tost, H., Thompson, P., Taron, U.H., Stahl, B.C., Spanlang, B., Sommer, P., Slater, M., Serin, E., Seefried, B., Schütz, T., Schwarz, E., Schwalber, A., Schmitt, K., Schikowski, T., Roy, J.-C., Rapp, M.A., Ralser, M., Petkoski, S., Pearmund, C., Patraskaki, M., Ogoh, G., Nöthen, M.M., Novarino, G., Neidhart, M., Nees, F., Miller, A.J., Meyer-Lindenberg, A., Mathey, C.M., Li, Y., Lett, T.A., Köhler, V., Kjelkenes, R., Kebir, H., Jirsa, V., Jia, T., Janson, K., Itatani, R., Holz, N., Hoffmann, P., Hitchen, E., Heinz, A., Heilmann-Heimbach, S., Gallego, J., Forstner, A.J., Fernández-Cabello, S., Feixas, G., Eiroa-Orosa, F.J., Desrivières, S., Dai, Y., Clinton, N., Claus, I., Christmann, N., Chen, D., Chang, X., Calhoun, V.D., Brandlistuen, R., Böttger, S.J., Bernas, A., Banaschewski, T., Athanasiadis, A.-P., Ask, H., Andreassen, O.A., Agunbiade, K., Aden, R. (2026). CLUES A Comprehensive Workflow for Integrating Geospatial Data in Biomedical Research. Nature Communications , Vol. 17, issue 1, Article 4330. </w:t>
            </w:r>
            <w:r w:rsidRPr="005A5CB5">
              <w:rPr>
                <w:rFonts w:ascii="Arial" w:eastAsia="Times New Roman" w:hAnsi="Arial" w:cs="Arial"/>
                <w:color w:val="000000"/>
                <w:sz w:val="20"/>
                <w:szCs w:val="20"/>
                <w:lang w:eastAsia="en-GB"/>
              </w:rPr>
              <w:br/>
              <w:t xml:space="preserve">https://doi.org/10.1038/s41467-026-73048-6 </w:t>
            </w:r>
          </w:p>
        </w:tc>
        <w:tc>
          <w:tcPr>
            <w:tcW w:w="940" w:type="dxa"/>
            <w:tcBorders>
              <w:top w:val="nil"/>
              <w:left w:val="nil"/>
              <w:bottom w:val="single" w:sz="4" w:space="0" w:color="auto"/>
              <w:right w:val="single" w:sz="4" w:space="0" w:color="auto"/>
            </w:tcBorders>
            <w:shd w:val="clear" w:color="000000" w:fill="E7F1F9"/>
            <w:noWrap/>
            <w:vAlign w:val="bottom"/>
            <w:hideMark/>
          </w:tcPr>
          <w:p w14:paraId="2EB35F0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3251298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shd w:val="clear" w:color="000000" w:fill="E7F1F9"/>
            <w:noWrap/>
            <w:vAlign w:val="bottom"/>
            <w:hideMark/>
          </w:tcPr>
          <w:p w14:paraId="6EB3947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36E4B589"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65E3EDD5"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Alshomrani, N., Furnell, S., Webb, H., Guerra-Manzanares, A. (2026). </w:t>
            </w:r>
            <w:r w:rsidRPr="005A5CB5">
              <w:rPr>
                <w:rFonts w:ascii="Arial" w:eastAsia="Times New Roman" w:hAnsi="Arial" w:cs="Arial"/>
                <w:color w:val="000000"/>
                <w:sz w:val="20"/>
                <w:szCs w:val="20"/>
                <w:lang w:eastAsia="en-GB"/>
              </w:rPr>
              <w:t xml:space="preserve">A Multi-Group Usability Evaluation of a Human-Centred Privacy and Permission Management Framework (MIDA). Journal of Cybersecurity and Privacy, Vol. 6, issue 3, Article 94. </w:t>
            </w:r>
            <w:r w:rsidRPr="005A5CB5">
              <w:rPr>
                <w:rFonts w:ascii="Arial" w:eastAsia="Times New Roman" w:hAnsi="Arial" w:cs="Arial"/>
                <w:color w:val="000000"/>
                <w:sz w:val="20"/>
                <w:szCs w:val="20"/>
                <w:lang w:eastAsia="en-GB"/>
              </w:rPr>
              <w:br/>
              <w:t xml:space="preserve">https://doi.org/10.3390/jcp6030094 </w:t>
            </w:r>
          </w:p>
        </w:tc>
        <w:tc>
          <w:tcPr>
            <w:tcW w:w="940" w:type="dxa"/>
            <w:tcBorders>
              <w:top w:val="nil"/>
              <w:left w:val="nil"/>
              <w:bottom w:val="single" w:sz="4" w:space="0" w:color="auto"/>
              <w:right w:val="single" w:sz="4" w:space="0" w:color="auto"/>
            </w:tcBorders>
            <w:noWrap/>
            <w:vAlign w:val="bottom"/>
            <w:hideMark/>
          </w:tcPr>
          <w:p w14:paraId="7427DF4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38AD1A3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noWrap/>
            <w:vAlign w:val="bottom"/>
            <w:hideMark/>
          </w:tcPr>
          <w:p w14:paraId="63D3294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7D2956CF"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7F150994"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Muñoz-del-Pino, I.M., Saavedra-Macías, F.J., Pérez-Vallejos, E. (2026). </w:t>
            </w:r>
            <w:r w:rsidRPr="005A5CB5">
              <w:rPr>
                <w:rFonts w:ascii="Arial" w:eastAsia="Times New Roman" w:hAnsi="Arial" w:cs="Arial"/>
                <w:color w:val="000000"/>
                <w:sz w:val="20"/>
                <w:szCs w:val="20"/>
                <w:lang w:eastAsia="en-GB"/>
              </w:rPr>
              <w:t xml:space="preserve">"Am I the only one who will Spread the Virus?": Impact of Public Stigma Towards the East Asian Population Living in Spain Related to COVID-19. Journal of Racial and Ethnic Health Disparities, Vol. 13, issue 1, 689-702. </w:t>
            </w:r>
            <w:r w:rsidRPr="005A5CB5">
              <w:rPr>
                <w:rFonts w:ascii="Arial" w:eastAsia="Times New Roman" w:hAnsi="Arial" w:cs="Arial"/>
                <w:color w:val="000000"/>
                <w:sz w:val="20"/>
                <w:szCs w:val="20"/>
                <w:lang w:eastAsia="en-GB"/>
              </w:rPr>
              <w:br/>
              <w:t xml:space="preserve">https://doi.org/10.1007/s40615-024-02281-w </w:t>
            </w:r>
          </w:p>
        </w:tc>
        <w:tc>
          <w:tcPr>
            <w:tcW w:w="940" w:type="dxa"/>
            <w:tcBorders>
              <w:top w:val="nil"/>
              <w:left w:val="nil"/>
              <w:bottom w:val="single" w:sz="4" w:space="0" w:color="auto"/>
              <w:right w:val="single" w:sz="4" w:space="0" w:color="auto"/>
            </w:tcBorders>
            <w:shd w:val="clear" w:color="000000" w:fill="E7F1F9"/>
            <w:noWrap/>
            <w:vAlign w:val="bottom"/>
            <w:hideMark/>
          </w:tcPr>
          <w:p w14:paraId="651D778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367FBDE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shd w:val="clear" w:color="000000" w:fill="E7F1F9"/>
            <w:noWrap/>
            <w:vAlign w:val="bottom"/>
            <w:hideMark/>
          </w:tcPr>
          <w:p w14:paraId="5DA424E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2CF1D3CE"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35F444AD"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Khan, S.A., Webb, H. (2026). "I Want to Hear Things From the Other Side": Designing for Content Diversity and User Control on Instagram Reels. Proceedings of the 13th European Conference on Social Media, ECSM 2026, 246-255. </w:t>
            </w:r>
          </w:p>
        </w:tc>
        <w:tc>
          <w:tcPr>
            <w:tcW w:w="940" w:type="dxa"/>
            <w:tcBorders>
              <w:top w:val="nil"/>
              <w:left w:val="nil"/>
              <w:bottom w:val="single" w:sz="4" w:space="0" w:color="auto"/>
              <w:right w:val="single" w:sz="4" w:space="0" w:color="auto"/>
            </w:tcBorders>
            <w:noWrap/>
            <w:vAlign w:val="bottom"/>
            <w:hideMark/>
          </w:tcPr>
          <w:p w14:paraId="76FB75E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27E68BE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noWrap/>
            <w:vAlign w:val="bottom"/>
            <w:hideMark/>
          </w:tcPr>
          <w:p w14:paraId="5291583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47D77A5C"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5457448D"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Webb, H., Barnard, P., Caleb-Solly, P., Cameron, A., Craigon, P., Lancaster, K., McClaughlin, E. (2026). Cheerbot: A Socially Assistive Robot for Workplace Wellbeing. Lecture Notes in Computer Science, Vol. 16131, 456-461. </w:t>
            </w:r>
            <w:r w:rsidRPr="005A5CB5">
              <w:rPr>
                <w:rFonts w:ascii="Arial" w:eastAsia="Times New Roman" w:hAnsi="Arial" w:cs="Arial"/>
                <w:color w:val="000000"/>
                <w:sz w:val="20"/>
                <w:szCs w:val="20"/>
                <w:lang w:eastAsia="en-GB"/>
              </w:rPr>
              <w:br/>
              <w:t xml:space="preserve">https://doi.org/10.1007/978-981-95-2379-5_32 </w:t>
            </w:r>
          </w:p>
        </w:tc>
        <w:tc>
          <w:tcPr>
            <w:tcW w:w="940" w:type="dxa"/>
            <w:tcBorders>
              <w:top w:val="nil"/>
              <w:left w:val="nil"/>
              <w:bottom w:val="single" w:sz="4" w:space="0" w:color="auto"/>
              <w:right w:val="single" w:sz="4" w:space="0" w:color="auto"/>
            </w:tcBorders>
            <w:shd w:val="clear" w:color="000000" w:fill="E7F1F9"/>
            <w:noWrap/>
            <w:vAlign w:val="bottom"/>
            <w:hideMark/>
          </w:tcPr>
          <w:p w14:paraId="32EDB05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6392A84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shd w:val="clear" w:color="000000" w:fill="E7F1F9"/>
            <w:noWrap/>
            <w:vAlign w:val="bottom"/>
            <w:hideMark/>
          </w:tcPr>
          <w:p w14:paraId="0C4ED89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6BFC5FCA"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307DF809"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Wogu, E., Filima, P., Caron, B., Deabler, D., Herholz, P., Leal, C., Mehboob, M.F., Kim, S., Gosain, A., Flexwala, A., Hayashi, S., Akintoye, S., Ogoh, G., Godwin, T., Eke, D., Pestilli, F. (2025). A labeled Clinical-MRI dataset of Nigerian brains. Scientific Data , Vol. 12, issue 1, Article 518. </w:t>
            </w:r>
            <w:r w:rsidRPr="005A5CB5">
              <w:rPr>
                <w:rFonts w:ascii="Arial" w:eastAsia="Times New Roman" w:hAnsi="Arial" w:cs="Arial"/>
                <w:color w:val="000000"/>
                <w:sz w:val="20"/>
                <w:szCs w:val="20"/>
                <w:lang w:eastAsia="en-GB"/>
              </w:rPr>
              <w:br/>
              <w:t xml:space="preserve">https://doi.org/10.1038/s41597-025-04743-0 </w:t>
            </w:r>
          </w:p>
        </w:tc>
        <w:tc>
          <w:tcPr>
            <w:tcW w:w="940" w:type="dxa"/>
            <w:tcBorders>
              <w:top w:val="nil"/>
              <w:left w:val="nil"/>
              <w:bottom w:val="single" w:sz="4" w:space="0" w:color="auto"/>
              <w:right w:val="single" w:sz="4" w:space="0" w:color="auto"/>
            </w:tcBorders>
            <w:noWrap/>
            <w:vAlign w:val="bottom"/>
            <w:hideMark/>
          </w:tcPr>
          <w:p w14:paraId="6BA1383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22F6E37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58%</w:t>
            </w:r>
          </w:p>
        </w:tc>
        <w:tc>
          <w:tcPr>
            <w:tcW w:w="640" w:type="dxa"/>
            <w:tcBorders>
              <w:top w:val="nil"/>
              <w:left w:val="nil"/>
              <w:bottom w:val="single" w:sz="4" w:space="0" w:color="auto"/>
              <w:right w:val="single" w:sz="4" w:space="0" w:color="auto"/>
            </w:tcBorders>
            <w:noWrap/>
            <w:vAlign w:val="bottom"/>
            <w:hideMark/>
          </w:tcPr>
          <w:p w14:paraId="747FF58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41DBEB3B"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BF3B780"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Alshomrani, N., Furnell, S., Webb, H. (2025). A Unified Privacy and Permission Management Framework. IFIP Advances in Information and Communication Technology, Vol. 721, 295-307. </w:t>
            </w:r>
            <w:r w:rsidRPr="005A5CB5">
              <w:rPr>
                <w:rFonts w:ascii="Arial" w:eastAsia="Times New Roman" w:hAnsi="Arial" w:cs="Arial"/>
                <w:color w:val="000000"/>
                <w:sz w:val="20"/>
                <w:szCs w:val="20"/>
                <w:lang w:eastAsia="en-GB"/>
              </w:rPr>
              <w:br/>
              <w:t xml:space="preserve">https://doi.org/10.1007/978-3-031-72559-3_20 </w:t>
            </w:r>
          </w:p>
        </w:tc>
        <w:tc>
          <w:tcPr>
            <w:tcW w:w="940" w:type="dxa"/>
            <w:tcBorders>
              <w:top w:val="nil"/>
              <w:left w:val="nil"/>
              <w:bottom w:val="single" w:sz="4" w:space="0" w:color="auto"/>
              <w:right w:val="single" w:sz="4" w:space="0" w:color="auto"/>
            </w:tcBorders>
            <w:shd w:val="clear" w:color="000000" w:fill="E7F1F9"/>
            <w:noWrap/>
            <w:vAlign w:val="bottom"/>
            <w:hideMark/>
          </w:tcPr>
          <w:p w14:paraId="5FD391B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528A597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58%</w:t>
            </w:r>
          </w:p>
        </w:tc>
        <w:tc>
          <w:tcPr>
            <w:tcW w:w="640" w:type="dxa"/>
            <w:tcBorders>
              <w:top w:val="nil"/>
              <w:left w:val="nil"/>
              <w:bottom w:val="single" w:sz="4" w:space="0" w:color="auto"/>
              <w:right w:val="single" w:sz="4" w:space="0" w:color="auto"/>
            </w:tcBorders>
            <w:shd w:val="clear" w:color="000000" w:fill="E7F1F9"/>
            <w:noWrap/>
            <w:vAlign w:val="bottom"/>
            <w:hideMark/>
          </w:tcPr>
          <w:p w14:paraId="2096523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20CD1F53"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2CDC1093"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Muñoz-del-Pino, I.M., Saavedra-Macías, F.J., Pérez-Vallejos, E. (2025). </w:t>
            </w:r>
            <w:r w:rsidRPr="005A5CB5">
              <w:rPr>
                <w:rFonts w:ascii="Arial" w:eastAsia="Times New Roman" w:hAnsi="Arial" w:cs="Arial"/>
                <w:color w:val="000000"/>
                <w:sz w:val="20"/>
                <w:szCs w:val="20"/>
                <w:lang w:eastAsia="en-GB"/>
              </w:rPr>
              <w:t xml:space="preserve">"Am I the only one who will Spread the Virus?": Impact of Public Stigma Towards the East Asian Population Living in Spain Related to COVID-19. Journal of Racial and Ethnic Health Disparities, Article e21684. </w:t>
            </w:r>
            <w:r w:rsidRPr="005A5CB5">
              <w:rPr>
                <w:rFonts w:ascii="Arial" w:eastAsia="Times New Roman" w:hAnsi="Arial" w:cs="Arial"/>
                <w:color w:val="000000"/>
                <w:sz w:val="20"/>
                <w:szCs w:val="20"/>
                <w:lang w:eastAsia="en-GB"/>
              </w:rPr>
              <w:br/>
              <w:t xml:space="preserve">https://doi.org/10.1007/s40615-024-02281-w </w:t>
            </w:r>
          </w:p>
        </w:tc>
        <w:tc>
          <w:tcPr>
            <w:tcW w:w="940" w:type="dxa"/>
            <w:tcBorders>
              <w:top w:val="nil"/>
              <w:left w:val="nil"/>
              <w:bottom w:val="single" w:sz="4" w:space="0" w:color="auto"/>
              <w:right w:val="single" w:sz="4" w:space="0" w:color="auto"/>
            </w:tcBorders>
            <w:noWrap/>
            <w:vAlign w:val="bottom"/>
            <w:hideMark/>
          </w:tcPr>
          <w:p w14:paraId="11749E9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41F4A96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23%</w:t>
            </w:r>
          </w:p>
        </w:tc>
        <w:tc>
          <w:tcPr>
            <w:tcW w:w="640" w:type="dxa"/>
            <w:tcBorders>
              <w:top w:val="nil"/>
              <w:left w:val="nil"/>
              <w:bottom w:val="single" w:sz="4" w:space="0" w:color="auto"/>
              <w:right w:val="single" w:sz="4" w:space="0" w:color="auto"/>
            </w:tcBorders>
            <w:noWrap/>
            <w:vAlign w:val="bottom"/>
            <w:hideMark/>
          </w:tcPr>
          <w:p w14:paraId="62137DC7"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3A7389BA"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7837796F"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Stahl, B.C., Winter, S. (2025). The Future of Professional Ethics in Computing. Communications of the ACM, Vol. 68, issue 8, 26-28. </w:t>
            </w:r>
            <w:r w:rsidRPr="005A5CB5">
              <w:rPr>
                <w:rFonts w:ascii="Arial" w:eastAsia="Times New Roman" w:hAnsi="Arial" w:cs="Arial"/>
                <w:color w:val="000000"/>
                <w:sz w:val="20"/>
                <w:szCs w:val="20"/>
                <w:lang w:eastAsia="en-GB"/>
              </w:rPr>
              <w:br/>
              <w:t xml:space="preserve">https://doi.org/10.1145/3722550 </w:t>
            </w:r>
          </w:p>
        </w:tc>
        <w:tc>
          <w:tcPr>
            <w:tcW w:w="940" w:type="dxa"/>
            <w:tcBorders>
              <w:top w:val="nil"/>
              <w:left w:val="nil"/>
              <w:bottom w:val="single" w:sz="4" w:space="0" w:color="auto"/>
              <w:right w:val="single" w:sz="4" w:space="0" w:color="auto"/>
            </w:tcBorders>
            <w:shd w:val="clear" w:color="000000" w:fill="E7F1F9"/>
            <w:noWrap/>
            <w:vAlign w:val="bottom"/>
            <w:hideMark/>
          </w:tcPr>
          <w:p w14:paraId="033A7FB4"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7641D0E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58%</w:t>
            </w:r>
          </w:p>
        </w:tc>
        <w:tc>
          <w:tcPr>
            <w:tcW w:w="640" w:type="dxa"/>
            <w:tcBorders>
              <w:top w:val="nil"/>
              <w:left w:val="nil"/>
              <w:bottom w:val="single" w:sz="4" w:space="0" w:color="auto"/>
              <w:right w:val="single" w:sz="4" w:space="0" w:color="auto"/>
            </w:tcBorders>
            <w:shd w:val="clear" w:color="000000" w:fill="E7F1F9"/>
            <w:noWrap/>
            <w:vAlign w:val="bottom"/>
            <w:hideMark/>
          </w:tcPr>
          <w:p w14:paraId="55F8878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7DA8FA7B"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7D7775F0"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Dowthwaite, L., Lancaster, K., Marsh, E., McClaughlin, E., Barnard, P., Caleb-Solly, P., Cameron, H., Craigon, P., Magassouba, A., Moir, F., Webb, H. (2025). An Ethical Risk Assessment of a Social Robot in the Workplace. IEEE International Workshop on Robot and Human Communication, RO-MAN, 1859-1864. </w:t>
            </w:r>
            <w:r w:rsidRPr="005A5CB5">
              <w:rPr>
                <w:rFonts w:ascii="Arial" w:eastAsia="Times New Roman" w:hAnsi="Arial" w:cs="Arial"/>
                <w:color w:val="000000"/>
                <w:sz w:val="20"/>
                <w:szCs w:val="20"/>
                <w:lang w:eastAsia="en-GB"/>
              </w:rPr>
              <w:br/>
              <w:t xml:space="preserve">https://doi.org/10.1109/RO-MAN63969.2025.11217608 </w:t>
            </w:r>
          </w:p>
        </w:tc>
        <w:tc>
          <w:tcPr>
            <w:tcW w:w="940" w:type="dxa"/>
            <w:tcBorders>
              <w:top w:val="nil"/>
              <w:left w:val="nil"/>
              <w:bottom w:val="single" w:sz="4" w:space="0" w:color="auto"/>
              <w:right w:val="single" w:sz="4" w:space="0" w:color="auto"/>
            </w:tcBorders>
            <w:noWrap/>
            <w:vAlign w:val="bottom"/>
            <w:hideMark/>
          </w:tcPr>
          <w:p w14:paraId="6AF4826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413C94B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58%</w:t>
            </w:r>
          </w:p>
        </w:tc>
        <w:tc>
          <w:tcPr>
            <w:tcW w:w="640" w:type="dxa"/>
            <w:tcBorders>
              <w:top w:val="nil"/>
              <w:left w:val="nil"/>
              <w:bottom w:val="single" w:sz="4" w:space="0" w:color="auto"/>
              <w:right w:val="single" w:sz="4" w:space="0" w:color="auto"/>
            </w:tcBorders>
            <w:noWrap/>
            <w:vAlign w:val="bottom"/>
            <w:hideMark/>
          </w:tcPr>
          <w:p w14:paraId="4C2334A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7833E180"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569E49E0"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Benford, S., Darzentas, D., Bodiaj, E., Tennent, P., Martindale, S., Cameron, H., Spors, V. (2025). Data-Driven Visiting Experiences. Hybrid Museum Experiences: Theory and Design, 157-175. </w:t>
            </w:r>
            <w:r w:rsidRPr="005A5CB5">
              <w:rPr>
                <w:rFonts w:ascii="Arial" w:eastAsia="Times New Roman" w:hAnsi="Arial" w:cs="Arial"/>
                <w:color w:val="000000"/>
                <w:sz w:val="20"/>
                <w:szCs w:val="20"/>
                <w:lang w:eastAsia="en-GB"/>
              </w:rPr>
              <w:br/>
              <w:t xml:space="preserve">https://doi.org/10.5117/9789463726443_CH09 </w:t>
            </w:r>
          </w:p>
        </w:tc>
        <w:tc>
          <w:tcPr>
            <w:tcW w:w="940" w:type="dxa"/>
            <w:tcBorders>
              <w:top w:val="nil"/>
              <w:left w:val="nil"/>
              <w:bottom w:val="single" w:sz="4" w:space="0" w:color="auto"/>
              <w:right w:val="single" w:sz="4" w:space="0" w:color="auto"/>
            </w:tcBorders>
            <w:shd w:val="clear" w:color="000000" w:fill="E7F1F9"/>
            <w:noWrap/>
            <w:vAlign w:val="bottom"/>
            <w:hideMark/>
          </w:tcPr>
          <w:p w14:paraId="118506B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375E98DB"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58%</w:t>
            </w:r>
          </w:p>
        </w:tc>
        <w:tc>
          <w:tcPr>
            <w:tcW w:w="640" w:type="dxa"/>
            <w:tcBorders>
              <w:top w:val="nil"/>
              <w:left w:val="nil"/>
              <w:bottom w:val="single" w:sz="4" w:space="0" w:color="auto"/>
              <w:right w:val="single" w:sz="4" w:space="0" w:color="auto"/>
            </w:tcBorders>
            <w:shd w:val="clear" w:color="000000" w:fill="E7F1F9"/>
            <w:noWrap/>
            <w:vAlign w:val="bottom"/>
            <w:hideMark/>
          </w:tcPr>
          <w:p w14:paraId="431ADA4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47E34475"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795EEF4C"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French, B., Wright, H., Daley, D., Perez Vallejos, E., Sayal, K., Hall, C.L. (2025). Evaluation and Uptake of an Online ADHD Psychoeducation Training for Primary Care Health Care Professionals: Implementation Study. JMIR Medical Education, Vol. 11, Article e59365. </w:t>
            </w:r>
            <w:r w:rsidRPr="005A5CB5">
              <w:rPr>
                <w:rFonts w:ascii="Arial" w:eastAsia="Times New Roman" w:hAnsi="Arial" w:cs="Arial"/>
                <w:color w:val="000000"/>
                <w:sz w:val="20"/>
                <w:szCs w:val="20"/>
                <w:lang w:eastAsia="en-GB"/>
              </w:rPr>
              <w:br/>
              <w:t xml:space="preserve">https://doi.org/10.2196/59365 </w:t>
            </w:r>
          </w:p>
        </w:tc>
        <w:tc>
          <w:tcPr>
            <w:tcW w:w="940" w:type="dxa"/>
            <w:tcBorders>
              <w:top w:val="nil"/>
              <w:left w:val="nil"/>
              <w:bottom w:val="single" w:sz="4" w:space="0" w:color="auto"/>
              <w:right w:val="single" w:sz="4" w:space="0" w:color="auto"/>
            </w:tcBorders>
            <w:noWrap/>
            <w:vAlign w:val="bottom"/>
            <w:hideMark/>
          </w:tcPr>
          <w:p w14:paraId="4A0F23E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41E23BE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58%</w:t>
            </w:r>
          </w:p>
        </w:tc>
        <w:tc>
          <w:tcPr>
            <w:tcW w:w="640" w:type="dxa"/>
            <w:tcBorders>
              <w:top w:val="nil"/>
              <w:left w:val="nil"/>
              <w:bottom w:val="single" w:sz="4" w:space="0" w:color="auto"/>
              <w:right w:val="single" w:sz="4" w:space="0" w:color="auto"/>
            </w:tcBorders>
            <w:noWrap/>
            <w:vAlign w:val="bottom"/>
            <w:hideMark/>
          </w:tcPr>
          <w:p w14:paraId="1F20C99D"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54127EDE"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74C60DB9"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Schiazza, G., Webb, H., Clos, J., Brundell, P., Walter, A. (2024). Meta-Meme: a Responsible Researcher's Tool for the analysis of Internet Memes. ACM International Conference Proceeding Series, Article 32. </w:t>
            </w:r>
            <w:r w:rsidRPr="005A5CB5">
              <w:rPr>
                <w:rFonts w:ascii="Arial" w:eastAsia="Times New Roman" w:hAnsi="Arial" w:cs="Arial"/>
                <w:color w:val="000000"/>
                <w:sz w:val="20"/>
                <w:szCs w:val="20"/>
                <w:lang w:eastAsia="en-GB"/>
              </w:rPr>
              <w:br/>
              <w:t xml:space="preserve">https://doi.org/10.1145/3686038.3686051 </w:t>
            </w:r>
          </w:p>
        </w:tc>
        <w:tc>
          <w:tcPr>
            <w:tcW w:w="940" w:type="dxa"/>
            <w:tcBorders>
              <w:top w:val="nil"/>
              <w:left w:val="nil"/>
              <w:bottom w:val="single" w:sz="4" w:space="0" w:color="auto"/>
              <w:right w:val="single" w:sz="4" w:space="0" w:color="auto"/>
            </w:tcBorders>
            <w:shd w:val="clear" w:color="000000" w:fill="E7F1F9"/>
            <w:noWrap/>
            <w:vAlign w:val="bottom"/>
            <w:hideMark/>
          </w:tcPr>
          <w:p w14:paraId="6D096E83"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1DE17E9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74%</w:t>
            </w:r>
          </w:p>
        </w:tc>
        <w:tc>
          <w:tcPr>
            <w:tcW w:w="640" w:type="dxa"/>
            <w:tcBorders>
              <w:top w:val="nil"/>
              <w:left w:val="nil"/>
              <w:bottom w:val="single" w:sz="4" w:space="0" w:color="auto"/>
              <w:right w:val="single" w:sz="4" w:space="0" w:color="auto"/>
            </w:tcBorders>
            <w:shd w:val="clear" w:color="000000" w:fill="E7F1F9"/>
            <w:noWrap/>
            <w:vAlign w:val="bottom"/>
            <w:hideMark/>
          </w:tcPr>
          <w:p w14:paraId="6EC343F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578CCA40"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6499F079"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Nees, F., Renner, P., Holz, N.E., Polemiti, E., Siehl, S., Hese, S., Schepanski, K., Schumann, G., Walter, H., Heinz, A., Ralser, M., Twardziok, S., Vaidya, N., Bernas, A., Serin, E., Jentsch, M., Hitchen, E., Kebir, H., Lett, T.A., Roy, J.-C., Eils, R., Taron, U.-H., Schütz, T., Banks, J., Banaschewski, T., Jansone, K., Christmann, N., Meyer-Lindenberg, A., Tost, H., Holz, N., Schwarz, E., Stringaris, A., Neidhart, M., Seefried, B., Aden, R., Andreassen, O.A., Westlye, L.T., van der Meer, D., Fernandez, S., Kjelkenes, R., Ask, H., Rapp, M., Tschorn, M., Böttger, S.J., Marquand, A., Novarino, G., Marr, L., Slater, M., Viapiana, G.F., Orosa, F.E., Gallego, J., Pastor, A., Forstner, A.J., Hoffmann, P., Nöthen, M.M., Claus, I., Miller, A., Mathey, C.M., Heilmann-Heimbach, S., Sommer, P., Patraskaki, M., Wilbertz, J., Schmitt, K., Jirsa, V., Petkoski, S., Pitel, S., Otten, L., Athanasiadis, A.-P., Pearmund, C., Spanlang, B., Alvarez, E., Sanchez, M., Giner, A., Jia, T., Gong, Y., Xia, Y., Chang, X., Calhoun, V., Liu, J., Schwalber, A., Thompson, P., Clinton, N., Desrivières, S., Young, A.H., Stahl, B., Ogoh, G. (2024). Large-scale population data enrichment in mental health research. Nature Mental Health, Vol. 2, issue 10, 1124-1127, Article 223. </w:t>
            </w:r>
            <w:r w:rsidRPr="005A5CB5">
              <w:rPr>
                <w:rFonts w:ascii="Arial" w:eastAsia="Times New Roman" w:hAnsi="Arial" w:cs="Arial"/>
                <w:color w:val="000000"/>
                <w:sz w:val="20"/>
                <w:szCs w:val="20"/>
                <w:lang w:eastAsia="en-GB"/>
              </w:rPr>
              <w:br/>
              <w:t xml:space="preserve">https://doi.org/10.1038/s44220-024-00316-z </w:t>
            </w:r>
          </w:p>
        </w:tc>
        <w:tc>
          <w:tcPr>
            <w:tcW w:w="940" w:type="dxa"/>
            <w:tcBorders>
              <w:top w:val="nil"/>
              <w:left w:val="nil"/>
              <w:bottom w:val="single" w:sz="4" w:space="0" w:color="auto"/>
              <w:right w:val="single" w:sz="4" w:space="0" w:color="auto"/>
            </w:tcBorders>
            <w:noWrap/>
            <w:vAlign w:val="bottom"/>
            <w:hideMark/>
          </w:tcPr>
          <w:p w14:paraId="00AB4C6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469E6A86"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74%</w:t>
            </w:r>
          </w:p>
        </w:tc>
        <w:tc>
          <w:tcPr>
            <w:tcW w:w="640" w:type="dxa"/>
            <w:tcBorders>
              <w:top w:val="nil"/>
              <w:left w:val="nil"/>
              <w:bottom w:val="single" w:sz="4" w:space="0" w:color="auto"/>
              <w:right w:val="single" w:sz="4" w:space="0" w:color="auto"/>
            </w:tcBorders>
            <w:noWrap/>
            <w:vAlign w:val="bottom"/>
            <w:hideMark/>
          </w:tcPr>
          <w:p w14:paraId="46697A7C"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5F89E676"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4F37E5F8"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Portillo, V., Webb, H., Craigon, P., Wilton, R., Dowthwaite, L., Luwemba, E. (2024). Responsibility Statement on research project outputs- to who and what for?. ACM International Conference Proceeding Series, Article 30. </w:t>
            </w:r>
            <w:r w:rsidRPr="005A5CB5">
              <w:rPr>
                <w:rFonts w:ascii="Arial" w:eastAsia="Times New Roman" w:hAnsi="Arial" w:cs="Arial"/>
                <w:color w:val="000000"/>
                <w:sz w:val="20"/>
                <w:szCs w:val="20"/>
                <w:lang w:eastAsia="en-GB"/>
              </w:rPr>
              <w:br/>
              <w:t xml:space="preserve">https://doi.org/10.1145/3686038.3686651 </w:t>
            </w:r>
          </w:p>
        </w:tc>
        <w:tc>
          <w:tcPr>
            <w:tcW w:w="940" w:type="dxa"/>
            <w:tcBorders>
              <w:top w:val="nil"/>
              <w:left w:val="nil"/>
              <w:bottom w:val="single" w:sz="4" w:space="0" w:color="auto"/>
              <w:right w:val="single" w:sz="4" w:space="0" w:color="auto"/>
            </w:tcBorders>
            <w:shd w:val="clear" w:color="000000" w:fill="E7F1F9"/>
            <w:noWrap/>
            <w:vAlign w:val="bottom"/>
            <w:hideMark/>
          </w:tcPr>
          <w:p w14:paraId="2E7E4A7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3DFA8161"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74%</w:t>
            </w:r>
          </w:p>
        </w:tc>
        <w:tc>
          <w:tcPr>
            <w:tcW w:w="640" w:type="dxa"/>
            <w:tcBorders>
              <w:top w:val="nil"/>
              <w:left w:val="nil"/>
              <w:bottom w:val="single" w:sz="4" w:space="0" w:color="auto"/>
              <w:right w:val="single" w:sz="4" w:space="0" w:color="auto"/>
            </w:tcBorders>
            <w:shd w:val="clear" w:color="000000" w:fill="E7F1F9"/>
            <w:noWrap/>
            <w:vAlign w:val="bottom"/>
            <w:hideMark/>
          </w:tcPr>
          <w:p w14:paraId="4E424625"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505056B6"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485B21B8"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Cameron, H.R., McBride, N., Ochang, P., Stahl, B.C. (2024). Trustworthy Airspaces of the Future: Hopes and concerns of experts regarding Uncrewed Traffic Management systems. ACM International Conference Proceeding Series, Article 8. </w:t>
            </w:r>
            <w:r w:rsidRPr="005A5CB5">
              <w:rPr>
                <w:rFonts w:ascii="Arial" w:eastAsia="Times New Roman" w:hAnsi="Arial" w:cs="Arial"/>
                <w:color w:val="000000"/>
                <w:sz w:val="20"/>
                <w:szCs w:val="20"/>
                <w:lang w:eastAsia="en-GB"/>
              </w:rPr>
              <w:br/>
              <w:t xml:space="preserve">https://doi.org/10.1145/3686038.3686053 </w:t>
            </w:r>
          </w:p>
        </w:tc>
        <w:tc>
          <w:tcPr>
            <w:tcW w:w="940" w:type="dxa"/>
            <w:tcBorders>
              <w:top w:val="nil"/>
              <w:left w:val="nil"/>
              <w:bottom w:val="single" w:sz="4" w:space="0" w:color="auto"/>
              <w:right w:val="single" w:sz="4" w:space="0" w:color="auto"/>
            </w:tcBorders>
            <w:noWrap/>
            <w:vAlign w:val="bottom"/>
            <w:hideMark/>
          </w:tcPr>
          <w:p w14:paraId="6B297C6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3196CFE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74%</w:t>
            </w:r>
          </w:p>
        </w:tc>
        <w:tc>
          <w:tcPr>
            <w:tcW w:w="640" w:type="dxa"/>
            <w:tcBorders>
              <w:top w:val="nil"/>
              <w:left w:val="nil"/>
              <w:bottom w:val="single" w:sz="4" w:space="0" w:color="auto"/>
              <w:right w:val="single" w:sz="4" w:space="0" w:color="auto"/>
            </w:tcBorders>
            <w:noWrap/>
            <w:vAlign w:val="bottom"/>
            <w:hideMark/>
          </w:tcPr>
          <w:p w14:paraId="01B322F2"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725B3AEE" w14:textId="77777777" w:rsidTr="005A5CB5">
        <w:trPr>
          <w:trHeight w:val="300"/>
        </w:trPr>
        <w:tc>
          <w:tcPr>
            <w:tcW w:w="6440" w:type="dxa"/>
            <w:tcBorders>
              <w:top w:val="nil"/>
              <w:left w:val="single" w:sz="4" w:space="0" w:color="auto"/>
              <w:bottom w:val="single" w:sz="4" w:space="0" w:color="auto"/>
              <w:right w:val="single" w:sz="4" w:space="0" w:color="auto"/>
            </w:tcBorders>
            <w:shd w:val="clear" w:color="000000" w:fill="E7F1F9"/>
            <w:vAlign w:val="bottom"/>
            <w:hideMark/>
          </w:tcPr>
          <w:p w14:paraId="351B51D2" w14:textId="77777777" w:rsidR="005A5CB5" w:rsidRPr="005A5CB5" w:rsidRDefault="005A5CB5" w:rsidP="005A5CB5">
            <w:pP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 xml:space="preserve">Cameron, H.R., McBride, N., Ochang, P., Stahl, B.C. (2024). Trustworthy Airspaces of the Future: Hopes and concerns of experts regarding Uncrewed Traffic Management systems. ACM International Conference Proceeding Series, Article 8. </w:t>
            </w:r>
            <w:r w:rsidRPr="005A5CB5">
              <w:rPr>
                <w:rFonts w:ascii="Arial" w:eastAsia="Times New Roman" w:hAnsi="Arial" w:cs="Arial"/>
                <w:color w:val="000000"/>
                <w:sz w:val="20"/>
                <w:szCs w:val="20"/>
                <w:lang w:eastAsia="en-GB"/>
              </w:rPr>
              <w:br/>
              <w:t xml:space="preserve">https://doi.org/10.1145/3686038.3686053 </w:t>
            </w:r>
          </w:p>
        </w:tc>
        <w:tc>
          <w:tcPr>
            <w:tcW w:w="940" w:type="dxa"/>
            <w:tcBorders>
              <w:top w:val="nil"/>
              <w:left w:val="nil"/>
              <w:bottom w:val="single" w:sz="4" w:space="0" w:color="auto"/>
              <w:right w:val="single" w:sz="4" w:space="0" w:color="auto"/>
            </w:tcBorders>
            <w:shd w:val="clear" w:color="000000" w:fill="E7F1F9"/>
            <w:noWrap/>
            <w:vAlign w:val="bottom"/>
            <w:hideMark/>
          </w:tcPr>
          <w:p w14:paraId="741EBDA0"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shd w:val="clear" w:color="000000" w:fill="E7F1F9"/>
            <w:noWrap/>
            <w:vAlign w:val="bottom"/>
            <w:hideMark/>
          </w:tcPr>
          <w:p w14:paraId="5A5DA93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74%</w:t>
            </w:r>
          </w:p>
        </w:tc>
        <w:tc>
          <w:tcPr>
            <w:tcW w:w="640" w:type="dxa"/>
            <w:tcBorders>
              <w:top w:val="nil"/>
              <w:left w:val="nil"/>
              <w:bottom w:val="single" w:sz="4" w:space="0" w:color="auto"/>
              <w:right w:val="single" w:sz="4" w:space="0" w:color="auto"/>
            </w:tcBorders>
            <w:shd w:val="clear" w:color="000000" w:fill="E7F1F9"/>
            <w:noWrap/>
            <w:vAlign w:val="bottom"/>
            <w:hideMark/>
          </w:tcPr>
          <w:p w14:paraId="5632B51F"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r w:rsidR="005A5CB5" w:rsidRPr="005A5CB5" w14:paraId="6A51ACBB" w14:textId="77777777" w:rsidTr="005A5CB5">
        <w:trPr>
          <w:trHeight w:val="300"/>
        </w:trPr>
        <w:tc>
          <w:tcPr>
            <w:tcW w:w="6440" w:type="dxa"/>
            <w:tcBorders>
              <w:top w:val="nil"/>
              <w:left w:val="single" w:sz="4" w:space="0" w:color="auto"/>
              <w:bottom w:val="single" w:sz="4" w:space="0" w:color="auto"/>
              <w:right w:val="single" w:sz="4" w:space="0" w:color="auto"/>
            </w:tcBorders>
            <w:vAlign w:val="bottom"/>
            <w:hideMark/>
          </w:tcPr>
          <w:p w14:paraId="30F0A00B" w14:textId="77777777" w:rsidR="005A5CB5" w:rsidRPr="005A5CB5" w:rsidRDefault="005A5CB5" w:rsidP="005A5CB5">
            <w:pPr>
              <w:rPr>
                <w:rFonts w:ascii="Arial" w:eastAsia="Times New Roman" w:hAnsi="Arial" w:cs="Arial"/>
                <w:color w:val="000000"/>
                <w:sz w:val="20"/>
                <w:szCs w:val="20"/>
                <w:lang w:eastAsia="en-GB"/>
              </w:rPr>
            </w:pPr>
            <w:r w:rsidRPr="007D41B0">
              <w:rPr>
                <w:rFonts w:ascii="Arial" w:eastAsia="Times New Roman" w:hAnsi="Arial" w:cs="Arial"/>
                <w:color w:val="000000"/>
                <w:sz w:val="20"/>
                <w:szCs w:val="20"/>
                <w:lang w:val="pt-BR" w:eastAsia="en-GB"/>
              </w:rPr>
              <w:t xml:space="preserve">Dowthwaite, L., Perez Vallejos, E., Portillo, V., Patel, M., Zhao, J., Creswick, H. (2023). </w:t>
            </w:r>
            <w:r w:rsidRPr="005A5CB5">
              <w:rPr>
                <w:rFonts w:ascii="Arial" w:eastAsia="Times New Roman" w:hAnsi="Arial" w:cs="Arial"/>
                <w:color w:val="000000"/>
                <w:sz w:val="20"/>
                <w:szCs w:val="20"/>
                <w:lang w:eastAsia="en-GB"/>
              </w:rPr>
              <w:t xml:space="preserve">An Exploration of how Trust Online Relates to Psychological and Subjective Wellbeing. ACM International Conference Proceeding Series, Article 13. </w:t>
            </w:r>
            <w:r w:rsidRPr="005A5CB5">
              <w:rPr>
                <w:rFonts w:ascii="Arial" w:eastAsia="Times New Roman" w:hAnsi="Arial" w:cs="Arial"/>
                <w:color w:val="000000"/>
                <w:sz w:val="20"/>
                <w:szCs w:val="20"/>
                <w:lang w:eastAsia="en-GB"/>
              </w:rPr>
              <w:br/>
              <w:t xml:space="preserve">https://doi.org/10.1145/3597512.3599708 </w:t>
            </w:r>
          </w:p>
        </w:tc>
        <w:tc>
          <w:tcPr>
            <w:tcW w:w="940" w:type="dxa"/>
            <w:tcBorders>
              <w:top w:val="nil"/>
              <w:left w:val="nil"/>
              <w:bottom w:val="single" w:sz="4" w:space="0" w:color="auto"/>
              <w:right w:val="single" w:sz="4" w:space="0" w:color="auto"/>
            </w:tcBorders>
            <w:noWrap/>
            <w:vAlign w:val="bottom"/>
            <w:hideMark/>
          </w:tcPr>
          <w:p w14:paraId="1A3888E9"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c>
          <w:tcPr>
            <w:tcW w:w="1040" w:type="dxa"/>
            <w:tcBorders>
              <w:top w:val="nil"/>
              <w:left w:val="nil"/>
              <w:bottom w:val="single" w:sz="4" w:space="0" w:color="auto"/>
              <w:right w:val="single" w:sz="4" w:space="0" w:color="auto"/>
            </w:tcBorders>
            <w:noWrap/>
            <w:vAlign w:val="bottom"/>
            <w:hideMark/>
          </w:tcPr>
          <w:p w14:paraId="05E90DFE"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78%</w:t>
            </w:r>
          </w:p>
        </w:tc>
        <w:tc>
          <w:tcPr>
            <w:tcW w:w="640" w:type="dxa"/>
            <w:tcBorders>
              <w:top w:val="nil"/>
              <w:left w:val="nil"/>
              <w:bottom w:val="single" w:sz="4" w:space="0" w:color="auto"/>
              <w:right w:val="single" w:sz="4" w:space="0" w:color="auto"/>
            </w:tcBorders>
            <w:noWrap/>
            <w:vAlign w:val="bottom"/>
            <w:hideMark/>
          </w:tcPr>
          <w:p w14:paraId="58CA775A" w14:textId="77777777" w:rsidR="005A5CB5" w:rsidRPr="005A5CB5" w:rsidRDefault="005A5CB5" w:rsidP="005A5CB5">
            <w:pPr>
              <w:jc w:val="center"/>
              <w:rPr>
                <w:rFonts w:ascii="Arial" w:eastAsia="Times New Roman" w:hAnsi="Arial" w:cs="Arial"/>
                <w:color w:val="000000"/>
                <w:sz w:val="20"/>
                <w:szCs w:val="20"/>
                <w:lang w:eastAsia="en-GB"/>
              </w:rPr>
            </w:pPr>
            <w:r w:rsidRPr="005A5CB5">
              <w:rPr>
                <w:rFonts w:ascii="Arial" w:eastAsia="Times New Roman" w:hAnsi="Arial" w:cs="Arial"/>
                <w:color w:val="000000"/>
                <w:sz w:val="20"/>
                <w:szCs w:val="20"/>
                <w:lang w:eastAsia="en-GB"/>
              </w:rPr>
              <w:t>0</w:t>
            </w:r>
          </w:p>
        </w:tc>
      </w:tr>
    </w:tbl>
    <w:p w14:paraId="3CB255C9" w14:textId="77777777" w:rsidR="00F15C6C" w:rsidRDefault="00F15C6C" w:rsidP="008B7D81">
      <w:pPr>
        <w:spacing w:after="240"/>
        <w:rPr>
          <w:rFonts w:ascii="Arial" w:hAnsi="Arial" w:cs="Arial"/>
          <w:color w:val="002060"/>
          <w:sz w:val="22"/>
          <w:szCs w:val="22"/>
        </w:rPr>
      </w:pPr>
    </w:p>
    <w:p w14:paraId="12E486B0" w14:textId="77777777" w:rsidR="00F15C6C" w:rsidRDefault="00F15C6C" w:rsidP="008B7D81">
      <w:pPr>
        <w:spacing w:after="240"/>
        <w:rPr>
          <w:rFonts w:ascii="Arial" w:hAnsi="Arial" w:cs="Arial"/>
          <w:color w:val="002060"/>
          <w:sz w:val="22"/>
          <w:szCs w:val="22"/>
        </w:rPr>
      </w:pPr>
    </w:p>
    <w:p w14:paraId="026455ED" w14:textId="77777777" w:rsidR="005B78BF" w:rsidRDefault="005B78BF" w:rsidP="008B7D81">
      <w:pPr>
        <w:spacing w:after="240"/>
        <w:rPr>
          <w:rFonts w:ascii="Arial" w:hAnsi="Arial" w:cs="Arial"/>
          <w:color w:val="002060"/>
          <w:sz w:val="22"/>
          <w:szCs w:val="22"/>
        </w:rPr>
      </w:pPr>
    </w:p>
    <w:p w14:paraId="01757B4C" w14:textId="77777777" w:rsidR="005B78BF" w:rsidRPr="009E7A5A" w:rsidRDefault="005B78BF" w:rsidP="008B7D81">
      <w:pPr>
        <w:spacing w:after="240"/>
        <w:rPr>
          <w:rFonts w:ascii="Arial" w:hAnsi="Arial" w:cs="Arial"/>
          <w:color w:val="002060"/>
          <w:sz w:val="22"/>
          <w:szCs w:val="22"/>
        </w:rPr>
      </w:pPr>
    </w:p>
    <w:p w14:paraId="168E8A7E" w14:textId="77777777" w:rsidR="007214BD" w:rsidRDefault="007214BD" w:rsidP="00DE3D6F">
      <w:pPr>
        <w:spacing w:after="240"/>
        <w:rPr>
          <w:rFonts w:ascii="Arial" w:hAnsi="Arial" w:cs="Arial"/>
          <w:color w:val="000000" w:themeColor="text1"/>
          <w:sz w:val="22"/>
          <w:szCs w:val="22"/>
        </w:rPr>
      </w:pPr>
    </w:p>
    <w:sectPr w:rsidR="007214BD" w:rsidSect="003C493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A2738" w14:textId="77777777" w:rsidR="00842B38" w:rsidRDefault="00842B38" w:rsidP="008471EE">
      <w:r>
        <w:separator/>
      </w:r>
    </w:p>
  </w:endnote>
  <w:endnote w:type="continuationSeparator" w:id="0">
    <w:p w14:paraId="3428709F" w14:textId="77777777" w:rsidR="00842B38" w:rsidRDefault="00842B38" w:rsidP="0084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2FA8E" w14:textId="77777777" w:rsidR="00842B38" w:rsidRDefault="00842B38" w:rsidP="008471EE">
      <w:r>
        <w:separator/>
      </w:r>
    </w:p>
  </w:footnote>
  <w:footnote w:type="continuationSeparator" w:id="0">
    <w:p w14:paraId="4FCD2E11" w14:textId="77777777" w:rsidR="00842B38" w:rsidRDefault="00842B38" w:rsidP="008471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B28B1"/>
    <w:multiLevelType w:val="hybridMultilevel"/>
    <w:tmpl w:val="CA022336"/>
    <w:lvl w:ilvl="0" w:tplc="0FD6F714">
      <w:start w:val="1"/>
      <w:numFmt w:val="bullet"/>
      <w:lvlText w:val=""/>
      <w:lvlJc w:val="left"/>
      <w:pPr>
        <w:ind w:left="1074" w:hanging="360"/>
      </w:pPr>
      <w:rPr>
        <w:rFonts w:ascii="Symbol" w:hAnsi="Symbol" w:hint="default"/>
      </w:rPr>
    </w:lvl>
    <w:lvl w:ilvl="1" w:tplc="FFFFFFFF">
      <w:start w:val="1"/>
      <w:numFmt w:val="bullet"/>
      <w:lvlText w:val="o"/>
      <w:lvlJc w:val="left"/>
      <w:pPr>
        <w:ind w:left="1794" w:hanging="360"/>
      </w:pPr>
      <w:rPr>
        <w:rFonts w:ascii="Courier New" w:hAnsi="Courier New" w:cs="Courier New" w:hint="default"/>
      </w:rPr>
    </w:lvl>
    <w:lvl w:ilvl="2" w:tplc="FFFFFFFF" w:tentative="1">
      <w:start w:val="1"/>
      <w:numFmt w:val="bullet"/>
      <w:lvlText w:val=""/>
      <w:lvlJc w:val="left"/>
      <w:pPr>
        <w:ind w:left="2514" w:hanging="360"/>
      </w:pPr>
      <w:rPr>
        <w:rFonts w:ascii="Wingdings" w:hAnsi="Wingdings" w:hint="default"/>
      </w:rPr>
    </w:lvl>
    <w:lvl w:ilvl="3" w:tplc="FFFFFFFF" w:tentative="1">
      <w:start w:val="1"/>
      <w:numFmt w:val="bullet"/>
      <w:lvlText w:val=""/>
      <w:lvlJc w:val="left"/>
      <w:pPr>
        <w:ind w:left="3234" w:hanging="360"/>
      </w:pPr>
      <w:rPr>
        <w:rFonts w:ascii="Symbol" w:hAnsi="Symbol" w:hint="default"/>
      </w:rPr>
    </w:lvl>
    <w:lvl w:ilvl="4" w:tplc="FFFFFFFF" w:tentative="1">
      <w:start w:val="1"/>
      <w:numFmt w:val="bullet"/>
      <w:lvlText w:val="o"/>
      <w:lvlJc w:val="left"/>
      <w:pPr>
        <w:ind w:left="3954" w:hanging="360"/>
      </w:pPr>
      <w:rPr>
        <w:rFonts w:ascii="Courier New" w:hAnsi="Courier New" w:cs="Courier New" w:hint="default"/>
      </w:rPr>
    </w:lvl>
    <w:lvl w:ilvl="5" w:tplc="FFFFFFFF" w:tentative="1">
      <w:start w:val="1"/>
      <w:numFmt w:val="bullet"/>
      <w:lvlText w:val=""/>
      <w:lvlJc w:val="left"/>
      <w:pPr>
        <w:ind w:left="4674" w:hanging="360"/>
      </w:pPr>
      <w:rPr>
        <w:rFonts w:ascii="Wingdings" w:hAnsi="Wingdings" w:hint="default"/>
      </w:rPr>
    </w:lvl>
    <w:lvl w:ilvl="6" w:tplc="FFFFFFFF" w:tentative="1">
      <w:start w:val="1"/>
      <w:numFmt w:val="bullet"/>
      <w:lvlText w:val=""/>
      <w:lvlJc w:val="left"/>
      <w:pPr>
        <w:ind w:left="5394" w:hanging="360"/>
      </w:pPr>
      <w:rPr>
        <w:rFonts w:ascii="Symbol" w:hAnsi="Symbol" w:hint="default"/>
      </w:rPr>
    </w:lvl>
    <w:lvl w:ilvl="7" w:tplc="FFFFFFFF" w:tentative="1">
      <w:start w:val="1"/>
      <w:numFmt w:val="bullet"/>
      <w:lvlText w:val="o"/>
      <w:lvlJc w:val="left"/>
      <w:pPr>
        <w:ind w:left="6114" w:hanging="360"/>
      </w:pPr>
      <w:rPr>
        <w:rFonts w:ascii="Courier New" w:hAnsi="Courier New" w:cs="Courier New" w:hint="default"/>
      </w:rPr>
    </w:lvl>
    <w:lvl w:ilvl="8" w:tplc="FFFFFFFF" w:tentative="1">
      <w:start w:val="1"/>
      <w:numFmt w:val="bullet"/>
      <w:lvlText w:val=""/>
      <w:lvlJc w:val="left"/>
      <w:pPr>
        <w:ind w:left="6834" w:hanging="360"/>
      </w:pPr>
      <w:rPr>
        <w:rFonts w:ascii="Wingdings" w:hAnsi="Wingdings" w:hint="default"/>
      </w:rPr>
    </w:lvl>
  </w:abstractNum>
  <w:abstractNum w:abstractNumId="1" w15:restartNumberingAfterBreak="0">
    <w:nsid w:val="19AC212F"/>
    <w:multiLevelType w:val="hybridMultilevel"/>
    <w:tmpl w:val="F3268128"/>
    <w:lvl w:ilvl="0" w:tplc="0FD6F714">
      <w:start w:val="1"/>
      <w:numFmt w:val="bullet"/>
      <w:lvlText w:val=""/>
      <w:lvlJc w:val="left"/>
      <w:pPr>
        <w:ind w:left="1074" w:hanging="360"/>
      </w:pPr>
      <w:rPr>
        <w:rFonts w:ascii="Symbol" w:hAnsi="Symbol" w:hint="default"/>
      </w:rPr>
    </w:lvl>
    <w:lvl w:ilvl="1" w:tplc="FFFFFFFF">
      <w:start w:val="1"/>
      <w:numFmt w:val="bullet"/>
      <w:lvlText w:val="o"/>
      <w:lvlJc w:val="left"/>
      <w:pPr>
        <w:ind w:left="1794" w:hanging="360"/>
      </w:pPr>
      <w:rPr>
        <w:rFonts w:ascii="Courier New" w:hAnsi="Courier New" w:cs="Courier New" w:hint="default"/>
      </w:rPr>
    </w:lvl>
    <w:lvl w:ilvl="2" w:tplc="FFFFFFFF" w:tentative="1">
      <w:start w:val="1"/>
      <w:numFmt w:val="bullet"/>
      <w:lvlText w:val=""/>
      <w:lvlJc w:val="left"/>
      <w:pPr>
        <w:ind w:left="2514" w:hanging="360"/>
      </w:pPr>
      <w:rPr>
        <w:rFonts w:ascii="Wingdings" w:hAnsi="Wingdings" w:hint="default"/>
      </w:rPr>
    </w:lvl>
    <w:lvl w:ilvl="3" w:tplc="FFFFFFFF" w:tentative="1">
      <w:start w:val="1"/>
      <w:numFmt w:val="bullet"/>
      <w:lvlText w:val=""/>
      <w:lvlJc w:val="left"/>
      <w:pPr>
        <w:ind w:left="3234" w:hanging="360"/>
      </w:pPr>
      <w:rPr>
        <w:rFonts w:ascii="Symbol" w:hAnsi="Symbol" w:hint="default"/>
      </w:rPr>
    </w:lvl>
    <w:lvl w:ilvl="4" w:tplc="FFFFFFFF" w:tentative="1">
      <w:start w:val="1"/>
      <w:numFmt w:val="bullet"/>
      <w:lvlText w:val="o"/>
      <w:lvlJc w:val="left"/>
      <w:pPr>
        <w:ind w:left="3954" w:hanging="360"/>
      </w:pPr>
      <w:rPr>
        <w:rFonts w:ascii="Courier New" w:hAnsi="Courier New" w:cs="Courier New" w:hint="default"/>
      </w:rPr>
    </w:lvl>
    <w:lvl w:ilvl="5" w:tplc="FFFFFFFF" w:tentative="1">
      <w:start w:val="1"/>
      <w:numFmt w:val="bullet"/>
      <w:lvlText w:val=""/>
      <w:lvlJc w:val="left"/>
      <w:pPr>
        <w:ind w:left="4674" w:hanging="360"/>
      </w:pPr>
      <w:rPr>
        <w:rFonts w:ascii="Wingdings" w:hAnsi="Wingdings" w:hint="default"/>
      </w:rPr>
    </w:lvl>
    <w:lvl w:ilvl="6" w:tplc="FFFFFFFF" w:tentative="1">
      <w:start w:val="1"/>
      <w:numFmt w:val="bullet"/>
      <w:lvlText w:val=""/>
      <w:lvlJc w:val="left"/>
      <w:pPr>
        <w:ind w:left="5394" w:hanging="360"/>
      </w:pPr>
      <w:rPr>
        <w:rFonts w:ascii="Symbol" w:hAnsi="Symbol" w:hint="default"/>
      </w:rPr>
    </w:lvl>
    <w:lvl w:ilvl="7" w:tplc="FFFFFFFF" w:tentative="1">
      <w:start w:val="1"/>
      <w:numFmt w:val="bullet"/>
      <w:lvlText w:val="o"/>
      <w:lvlJc w:val="left"/>
      <w:pPr>
        <w:ind w:left="6114" w:hanging="360"/>
      </w:pPr>
      <w:rPr>
        <w:rFonts w:ascii="Courier New" w:hAnsi="Courier New" w:cs="Courier New" w:hint="default"/>
      </w:rPr>
    </w:lvl>
    <w:lvl w:ilvl="8" w:tplc="FFFFFFFF" w:tentative="1">
      <w:start w:val="1"/>
      <w:numFmt w:val="bullet"/>
      <w:lvlText w:val=""/>
      <w:lvlJc w:val="left"/>
      <w:pPr>
        <w:ind w:left="6834" w:hanging="360"/>
      </w:pPr>
      <w:rPr>
        <w:rFonts w:ascii="Wingdings" w:hAnsi="Wingdings" w:hint="default"/>
      </w:rPr>
    </w:lvl>
  </w:abstractNum>
  <w:abstractNum w:abstractNumId="2" w15:restartNumberingAfterBreak="0">
    <w:nsid w:val="26A13863"/>
    <w:multiLevelType w:val="hybridMultilevel"/>
    <w:tmpl w:val="EADCAF0C"/>
    <w:lvl w:ilvl="0" w:tplc="C01EF718">
      <w:start w:val="2023"/>
      <w:numFmt w:val="bullet"/>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0D37C8"/>
    <w:multiLevelType w:val="hybridMultilevel"/>
    <w:tmpl w:val="2C7C081C"/>
    <w:lvl w:ilvl="0" w:tplc="0D4ECDBC">
      <w:start w:val="8"/>
      <w:numFmt w:val="bullet"/>
      <w:lvlText w:val="-"/>
      <w:lvlJc w:val="left"/>
      <w:pPr>
        <w:ind w:left="1134" w:hanging="397"/>
      </w:pPr>
      <w:rPr>
        <w:rFonts w:ascii="Verdana" w:eastAsia="Times New Roman" w:hAnsi="Verdana" w:cs="Arial" w:hint="default"/>
      </w:rPr>
    </w:lvl>
    <w:lvl w:ilvl="1" w:tplc="04090003">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4" w15:restartNumberingAfterBreak="0">
    <w:nsid w:val="51CB15D3"/>
    <w:multiLevelType w:val="multilevel"/>
    <w:tmpl w:val="E0A6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3C4D5C"/>
    <w:multiLevelType w:val="hybridMultilevel"/>
    <w:tmpl w:val="057A9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425D47"/>
    <w:multiLevelType w:val="hybridMultilevel"/>
    <w:tmpl w:val="91387D76"/>
    <w:lvl w:ilvl="0" w:tplc="FFFFFFFF">
      <w:start w:val="2023"/>
      <w:numFmt w:val="bullet"/>
      <w:lvlText w:val=""/>
      <w:lvlJc w:val="left"/>
      <w:pPr>
        <w:ind w:left="720" w:hanging="360"/>
      </w:pPr>
      <w:rPr>
        <w:rFonts w:ascii="Symbol" w:eastAsiaTheme="minorHAnsi" w:hAnsi="Symbol" w:cs="Arial" w:hint="default"/>
      </w:rPr>
    </w:lvl>
    <w:lvl w:ilvl="1" w:tplc="0FD6F714">
      <w:start w:val="1"/>
      <w:numFmt w:val="bullet"/>
      <w:lvlText w:val=""/>
      <w:lvlJc w:val="left"/>
      <w:pPr>
        <w:ind w:left="1021" w:hanging="284"/>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01169401">
    <w:abstractNumId w:val="5"/>
  </w:num>
  <w:num w:numId="2" w16cid:durableId="493372594">
    <w:abstractNumId w:val="3"/>
  </w:num>
  <w:num w:numId="3" w16cid:durableId="732001548">
    <w:abstractNumId w:val="4"/>
  </w:num>
  <w:num w:numId="4" w16cid:durableId="1231110538">
    <w:abstractNumId w:val="2"/>
  </w:num>
  <w:num w:numId="5" w16cid:durableId="746996154">
    <w:abstractNumId w:val="6"/>
  </w:num>
  <w:num w:numId="6" w16cid:durableId="1518230553">
    <w:abstractNumId w:val="0"/>
  </w:num>
  <w:num w:numId="7" w16cid:durableId="785931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491"/>
    <w:rsid w:val="00023818"/>
    <w:rsid w:val="00030582"/>
    <w:rsid w:val="000342D2"/>
    <w:rsid w:val="00042DA1"/>
    <w:rsid w:val="000530ED"/>
    <w:rsid w:val="00055053"/>
    <w:rsid w:val="00076294"/>
    <w:rsid w:val="0008529E"/>
    <w:rsid w:val="00097C68"/>
    <w:rsid w:val="000A748B"/>
    <w:rsid w:val="000B187C"/>
    <w:rsid w:val="000C0ACA"/>
    <w:rsid w:val="000D5D68"/>
    <w:rsid w:val="000E4C1D"/>
    <w:rsid w:val="000F0854"/>
    <w:rsid w:val="000F2BD8"/>
    <w:rsid w:val="000F3AF1"/>
    <w:rsid w:val="000F48FB"/>
    <w:rsid w:val="000F6D1D"/>
    <w:rsid w:val="00105E65"/>
    <w:rsid w:val="0010686E"/>
    <w:rsid w:val="0011002E"/>
    <w:rsid w:val="00122ED2"/>
    <w:rsid w:val="0014446A"/>
    <w:rsid w:val="00145835"/>
    <w:rsid w:val="00157942"/>
    <w:rsid w:val="001639B1"/>
    <w:rsid w:val="001732D5"/>
    <w:rsid w:val="00185BAD"/>
    <w:rsid w:val="0018732A"/>
    <w:rsid w:val="0019339F"/>
    <w:rsid w:val="0019564A"/>
    <w:rsid w:val="001A0EFD"/>
    <w:rsid w:val="001B2289"/>
    <w:rsid w:val="001B2D99"/>
    <w:rsid w:val="001C3523"/>
    <w:rsid w:val="001C4C9A"/>
    <w:rsid w:val="001D1E0E"/>
    <w:rsid w:val="001D6896"/>
    <w:rsid w:val="001D79D8"/>
    <w:rsid w:val="001E1044"/>
    <w:rsid w:val="001E35C4"/>
    <w:rsid w:val="001E4400"/>
    <w:rsid w:val="001E7814"/>
    <w:rsid w:val="001F3CFF"/>
    <w:rsid w:val="00212EB1"/>
    <w:rsid w:val="0021403E"/>
    <w:rsid w:val="00220AD0"/>
    <w:rsid w:val="002218FB"/>
    <w:rsid w:val="002261A8"/>
    <w:rsid w:val="002273C7"/>
    <w:rsid w:val="00234E22"/>
    <w:rsid w:val="0024361B"/>
    <w:rsid w:val="00245B40"/>
    <w:rsid w:val="00267A3B"/>
    <w:rsid w:val="00275161"/>
    <w:rsid w:val="00277F60"/>
    <w:rsid w:val="00280F8C"/>
    <w:rsid w:val="002A0E5A"/>
    <w:rsid w:val="002A11C7"/>
    <w:rsid w:val="002B16F4"/>
    <w:rsid w:val="002B5C57"/>
    <w:rsid w:val="002B5F91"/>
    <w:rsid w:val="002B6F53"/>
    <w:rsid w:val="002C0469"/>
    <w:rsid w:val="002C1AFD"/>
    <w:rsid w:val="002C252C"/>
    <w:rsid w:val="002C4D1E"/>
    <w:rsid w:val="002C7213"/>
    <w:rsid w:val="002C7DF7"/>
    <w:rsid w:val="002D1D0D"/>
    <w:rsid w:val="002E187E"/>
    <w:rsid w:val="002F3376"/>
    <w:rsid w:val="002F45F3"/>
    <w:rsid w:val="0032337B"/>
    <w:rsid w:val="0034189B"/>
    <w:rsid w:val="00342C77"/>
    <w:rsid w:val="0034482F"/>
    <w:rsid w:val="00347F6B"/>
    <w:rsid w:val="00360BD2"/>
    <w:rsid w:val="003737BD"/>
    <w:rsid w:val="00374491"/>
    <w:rsid w:val="00383153"/>
    <w:rsid w:val="00387D3F"/>
    <w:rsid w:val="00391636"/>
    <w:rsid w:val="003A45D5"/>
    <w:rsid w:val="003A51F3"/>
    <w:rsid w:val="003A5A55"/>
    <w:rsid w:val="003A775A"/>
    <w:rsid w:val="003B0209"/>
    <w:rsid w:val="003B1DDD"/>
    <w:rsid w:val="003B4C96"/>
    <w:rsid w:val="003C4932"/>
    <w:rsid w:val="003C6392"/>
    <w:rsid w:val="003D5DD7"/>
    <w:rsid w:val="003F0B34"/>
    <w:rsid w:val="003F0BCC"/>
    <w:rsid w:val="003F15C9"/>
    <w:rsid w:val="003F49EF"/>
    <w:rsid w:val="003F6A26"/>
    <w:rsid w:val="00402766"/>
    <w:rsid w:val="00402DCC"/>
    <w:rsid w:val="00403438"/>
    <w:rsid w:val="00404C97"/>
    <w:rsid w:val="0042092D"/>
    <w:rsid w:val="00424712"/>
    <w:rsid w:val="00431C1E"/>
    <w:rsid w:val="00434D6B"/>
    <w:rsid w:val="00444BC6"/>
    <w:rsid w:val="00456D52"/>
    <w:rsid w:val="004601B1"/>
    <w:rsid w:val="004623BC"/>
    <w:rsid w:val="00466CCF"/>
    <w:rsid w:val="00467480"/>
    <w:rsid w:val="00475E6C"/>
    <w:rsid w:val="00482E0F"/>
    <w:rsid w:val="00492438"/>
    <w:rsid w:val="00496B60"/>
    <w:rsid w:val="004A1C9F"/>
    <w:rsid w:val="004A7AC5"/>
    <w:rsid w:val="004B2BEB"/>
    <w:rsid w:val="004D04EF"/>
    <w:rsid w:val="004E3456"/>
    <w:rsid w:val="004E779C"/>
    <w:rsid w:val="00506651"/>
    <w:rsid w:val="00506782"/>
    <w:rsid w:val="00515AA3"/>
    <w:rsid w:val="00560CE8"/>
    <w:rsid w:val="00562811"/>
    <w:rsid w:val="00570C82"/>
    <w:rsid w:val="00573405"/>
    <w:rsid w:val="00580D3F"/>
    <w:rsid w:val="005A5CB5"/>
    <w:rsid w:val="005B78BF"/>
    <w:rsid w:val="005D02F6"/>
    <w:rsid w:val="005D0C06"/>
    <w:rsid w:val="005D1109"/>
    <w:rsid w:val="005F3014"/>
    <w:rsid w:val="005F4BB5"/>
    <w:rsid w:val="005F4F88"/>
    <w:rsid w:val="00603D77"/>
    <w:rsid w:val="00606BEF"/>
    <w:rsid w:val="0061170C"/>
    <w:rsid w:val="0061755F"/>
    <w:rsid w:val="00626DC3"/>
    <w:rsid w:val="006274FC"/>
    <w:rsid w:val="00641E9C"/>
    <w:rsid w:val="006500C4"/>
    <w:rsid w:val="00654DF5"/>
    <w:rsid w:val="006707D7"/>
    <w:rsid w:val="00670C30"/>
    <w:rsid w:val="00675C4E"/>
    <w:rsid w:val="00685C4C"/>
    <w:rsid w:val="00693D86"/>
    <w:rsid w:val="006941EC"/>
    <w:rsid w:val="006979F2"/>
    <w:rsid w:val="006A2759"/>
    <w:rsid w:val="006A5F3C"/>
    <w:rsid w:val="006B31B8"/>
    <w:rsid w:val="006B3EC8"/>
    <w:rsid w:val="006B45FB"/>
    <w:rsid w:val="006B588D"/>
    <w:rsid w:val="006B724E"/>
    <w:rsid w:val="006C3194"/>
    <w:rsid w:val="006D201F"/>
    <w:rsid w:val="006D2055"/>
    <w:rsid w:val="006D6088"/>
    <w:rsid w:val="006F3D64"/>
    <w:rsid w:val="00700BAB"/>
    <w:rsid w:val="00707575"/>
    <w:rsid w:val="007077EF"/>
    <w:rsid w:val="0070796D"/>
    <w:rsid w:val="00715D1E"/>
    <w:rsid w:val="007214BD"/>
    <w:rsid w:val="00721D88"/>
    <w:rsid w:val="007251F3"/>
    <w:rsid w:val="00742EA6"/>
    <w:rsid w:val="00755F27"/>
    <w:rsid w:val="00770051"/>
    <w:rsid w:val="0077085C"/>
    <w:rsid w:val="007754C9"/>
    <w:rsid w:val="007807A5"/>
    <w:rsid w:val="00785568"/>
    <w:rsid w:val="007A38A1"/>
    <w:rsid w:val="007A4D15"/>
    <w:rsid w:val="007C58CE"/>
    <w:rsid w:val="007D41B0"/>
    <w:rsid w:val="007E2164"/>
    <w:rsid w:val="007F204D"/>
    <w:rsid w:val="007F4617"/>
    <w:rsid w:val="00805FFF"/>
    <w:rsid w:val="0081149F"/>
    <w:rsid w:val="00811E73"/>
    <w:rsid w:val="008171D5"/>
    <w:rsid w:val="00837A96"/>
    <w:rsid w:val="0084205A"/>
    <w:rsid w:val="008428E4"/>
    <w:rsid w:val="00842B38"/>
    <w:rsid w:val="008471EE"/>
    <w:rsid w:val="008512F3"/>
    <w:rsid w:val="00854142"/>
    <w:rsid w:val="00856778"/>
    <w:rsid w:val="00867DAB"/>
    <w:rsid w:val="008913C1"/>
    <w:rsid w:val="008A4E33"/>
    <w:rsid w:val="008A7C05"/>
    <w:rsid w:val="008B1DBD"/>
    <w:rsid w:val="008B7ADD"/>
    <w:rsid w:val="008B7D81"/>
    <w:rsid w:val="008C53CD"/>
    <w:rsid w:val="008D2F0D"/>
    <w:rsid w:val="008D5DA0"/>
    <w:rsid w:val="008D7B4E"/>
    <w:rsid w:val="008E2C6F"/>
    <w:rsid w:val="008E3808"/>
    <w:rsid w:val="008E537B"/>
    <w:rsid w:val="008F4B15"/>
    <w:rsid w:val="008F5536"/>
    <w:rsid w:val="008F6D85"/>
    <w:rsid w:val="009008EE"/>
    <w:rsid w:val="00903893"/>
    <w:rsid w:val="00906D0E"/>
    <w:rsid w:val="009139D8"/>
    <w:rsid w:val="00931F0A"/>
    <w:rsid w:val="00936D6F"/>
    <w:rsid w:val="00940781"/>
    <w:rsid w:val="00942169"/>
    <w:rsid w:val="00946313"/>
    <w:rsid w:val="00951C0B"/>
    <w:rsid w:val="00954F69"/>
    <w:rsid w:val="009610F9"/>
    <w:rsid w:val="009632A1"/>
    <w:rsid w:val="0096519E"/>
    <w:rsid w:val="0097333F"/>
    <w:rsid w:val="00980D4C"/>
    <w:rsid w:val="0098442E"/>
    <w:rsid w:val="00985064"/>
    <w:rsid w:val="00985962"/>
    <w:rsid w:val="009948B6"/>
    <w:rsid w:val="009B0C8F"/>
    <w:rsid w:val="009B2A6C"/>
    <w:rsid w:val="009B3D0F"/>
    <w:rsid w:val="009C6573"/>
    <w:rsid w:val="009E37E0"/>
    <w:rsid w:val="009E59C9"/>
    <w:rsid w:val="009E7A5A"/>
    <w:rsid w:val="009F58C3"/>
    <w:rsid w:val="009F6E96"/>
    <w:rsid w:val="009F74DD"/>
    <w:rsid w:val="00A037E9"/>
    <w:rsid w:val="00A11B4D"/>
    <w:rsid w:val="00A14A38"/>
    <w:rsid w:val="00A1589E"/>
    <w:rsid w:val="00A23C4A"/>
    <w:rsid w:val="00A256ED"/>
    <w:rsid w:val="00A307EE"/>
    <w:rsid w:val="00A333EC"/>
    <w:rsid w:val="00A407D1"/>
    <w:rsid w:val="00A462C5"/>
    <w:rsid w:val="00A623A5"/>
    <w:rsid w:val="00A655B6"/>
    <w:rsid w:val="00A65915"/>
    <w:rsid w:val="00A769B5"/>
    <w:rsid w:val="00A9050E"/>
    <w:rsid w:val="00A92E59"/>
    <w:rsid w:val="00A975F1"/>
    <w:rsid w:val="00A976D8"/>
    <w:rsid w:val="00AA07A7"/>
    <w:rsid w:val="00AB3F47"/>
    <w:rsid w:val="00AB5C1E"/>
    <w:rsid w:val="00AE531D"/>
    <w:rsid w:val="00B0584A"/>
    <w:rsid w:val="00B11E12"/>
    <w:rsid w:val="00B20E90"/>
    <w:rsid w:val="00B41244"/>
    <w:rsid w:val="00B4158B"/>
    <w:rsid w:val="00B41C5F"/>
    <w:rsid w:val="00B43876"/>
    <w:rsid w:val="00B43E7B"/>
    <w:rsid w:val="00B56789"/>
    <w:rsid w:val="00B56A2A"/>
    <w:rsid w:val="00B60760"/>
    <w:rsid w:val="00B6147C"/>
    <w:rsid w:val="00B72D13"/>
    <w:rsid w:val="00B7795E"/>
    <w:rsid w:val="00B8189F"/>
    <w:rsid w:val="00B902E3"/>
    <w:rsid w:val="00B9569B"/>
    <w:rsid w:val="00BA2902"/>
    <w:rsid w:val="00BA74AE"/>
    <w:rsid w:val="00BC3C4C"/>
    <w:rsid w:val="00BE344A"/>
    <w:rsid w:val="00C1300A"/>
    <w:rsid w:val="00C21770"/>
    <w:rsid w:val="00C233F1"/>
    <w:rsid w:val="00C2429B"/>
    <w:rsid w:val="00C262C2"/>
    <w:rsid w:val="00C41D4A"/>
    <w:rsid w:val="00C4787E"/>
    <w:rsid w:val="00C60030"/>
    <w:rsid w:val="00C628DA"/>
    <w:rsid w:val="00C63764"/>
    <w:rsid w:val="00C706F1"/>
    <w:rsid w:val="00C77B9B"/>
    <w:rsid w:val="00C8106B"/>
    <w:rsid w:val="00C814E9"/>
    <w:rsid w:val="00C82CBA"/>
    <w:rsid w:val="00C8350C"/>
    <w:rsid w:val="00C867F7"/>
    <w:rsid w:val="00C86C31"/>
    <w:rsid w:val="00C93221"/>
    <w:rsid w:val="00C95264"/>
    <w:rsid w:val="00CA034D"/>
    <w:rsid w:val="00CA0521"/>
    <w:rsid w:val="00CC5C60"/>
    <w:rsid w:val="00CD644E"/>
    <w:rsid w:val="00D17618"/>
    <w:rsid w:val="00D27A4B"/>
    <w:rsid w:val="00D37EC4"/>
    <w:rsid w:val="00D53415"/>
    <w:rsid w:val="00D61566"/>
    <w:rsid w:val="00D623DA"/>
    <w:rsid w:val="00D66F5E"/>
    <w:rsid w:val="00D72346"/>
    <w:rsid w:val="00D732A5"/>
    <w:rsid w:val="00D74D07"/>
    <w:rsid w:val="00D86B9D"/>
    <w:rsid w:val="00D870CA"/>
    <w:rsid w:val="00D96FE7"/>
    <w:rsid w:val="00DA252E"/>
    <w:rsid w:val="00DA635F"/>
    <w:rsid w:val="00DA6A52"/>
    <w:rsid w:val="00DB0A8A"/>
    <w:rsid w:val="00DB3280"/>
    <w:rsid w:val="00DD000A"/>
    <w:rsid w:val="00DE3D6F"/>
    <w:rsid w:val="00DE454B"/>
    <w:rsid w:val="00DE6B3E"/>
    <w:rsid w:val="00DF1423"/>
    <w:rsid w:val="00DF3F4E"/>
    <w:rsid w:val="00E057FB"/>
    <w:rsid w:val="00E069FA"/>
    <w:rsid w:val="00E1062C"/>
    <w:rsid w:val="00E30426"/>
    <w:rsid w:val="00E36757"/>
    <w:rsid w:val="00E53427"/>
    <w:rsid w:val="00E57A47"/>
    <w:rsid w:val="00E6051E"/>
    <w:rsid w:val="00E67792"/>
    <w:rsid w:val="00E80324"/>
    <w:rsid w:val="00E806F4"/>
    <w:rsid w:val="00E84EC1"/>
    <w:rsid w:val="00E8557D"/>
    <w:rsid w:val="00E86703"/>
    <w:rsid w:val="00EA419D"/>
    <w:rsid w:val="00EB2F33"/>
    <w:rsid w:val="00EB519B"/>
    <w:rsid w:val="00EC0183"/>
    <w:rsid w:val="00EC2DBE"/>
    <w:rsid w:val="00ED2BAA"/>
    <w:rsid w:val="00EE2397"/>
    <w:rsid w:val="00EE24CD"/>
    <w:rsid w:val="00EE6DF7"/>
    <w:rsid w:val="00EF03F6"/>
    <w:rsid w:val="00EF182C"/>
    <w:rsid w:val="00EF459B"/>
    <w:rsid w:val="00F15C6C"/>
    <w:rsid w:val="00F30D87"/>
    <w:rsid w:val="00F318CD"/>
    <w:rsid w:val="00F33B3F"/>
    <w:rsid w:val="00F34247"/>
    <w:rsid w:val="00F35055"/>
    <w:rsid w:val="00F35474"/>
    <w:rsid w:val="00F463F5"/>
    <w:rsid w:val="00F5410C"/>
    <w:rsid w:val="00F715C0"/>
    <w:rsid w:val="00F741AA"/>
    <w:rsid w:val="00F75C9E"/>
    <w:rsid w:val="00F77608"/>
    <w:rsid w:val="00F86EE3"/>
    <w:rsid w:val="00F87936"/>
    <w:rsid w:val="00F90190"/>
    <w:rsid w:val="00F94C79"/>
    <w:rsid w:val="00FA3773"/>
    <w:rsid w:val="00FC2634"/>
    <w:rsid w:val="00FD1087"/>
    <w:rsid w:val="00FD4136"/>
    <w:rsid w:val="00FD64B8"/>
    <w:rsid w:val="09D18B0E"/>
    <w:rsid w:val="0D4818C1"/>
    <w:rsid w:val="0DBF6C65"/>
    <w:rsid w:val="0F758584"/>
    <w:rsid w:val="1B2AD045"/>
    <w:rsid w:val="1C752ECD"/>
    <w:rsid w:val="2C8B2794"/>
    <w:rsid w:val="33AC11D5"/>
    <w:rsid w:val="71931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86C66"/>
  <w15:chartTrackingRefBased/>
  <w15:docId w15:val="{A8647986-AC13-2E4C-8C6C-0E2EB2519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2DCC"/>
    <w:rPr>
      <w:color w:val="0563C1" w:themeColor="hyperlink"/>
      <w:u w:val="single"/>
    </w:rPr>
  </w:style>
  <w:style w:type="character" w:styleId="UnresolvedMention">
    <w:name w:val="Unresolved Mention"/>
    <w:basedOn w:val="DefaultParagraphFont"/>
    <w:uiPriority w:val="99"/>
    <w:semiHidden/>
    <w:unhideWhenUsed/>
    <w:rsid w:val="00402DCC"/>
    <w:rPr>
      <w:color w:val="605E5C"/>
      <w:shd w:val="clear" w:color="auto" w:fill="E1DFDD"/>
    </w:rPr>
  </w:style>
  <w:style w:type="paragraph" w:styleId="ListParagraph">
    <w:name w:val="List Paragraph"/>
    <w:basedOn w:val="Normal"/>
    <w:uiPriority w:val="34"/>
    <w:qFormat/>
    <w:rsid w:val="006B724E"/>
    <w:pPr>
      <w:ind w:left="720"/>
      <w:contextualSpacing/>
    </w:pPr>
  </w:style>
  <w:style w:type="paragraph" w:customStyle="1" w:styleId="paragraphstyle12">
    <w:name w:val="paragraph_style_12"/>
    <w:basedOn w:val="Normal"/>
    <w:rsid w:val="007E2164"/>
    <w:pPr>
      <w:spacing w:before="100" w:beforeAutospacing="1" w:after="100" w:afterAutospacing="1"/>
    </w:pPr>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8471EE"/>
    <w:rPr>
      <w:sz w:val="20"/>
      <w:szCs w:val="20"/>
    </w:rPr>
  </w:style>
  <w:style w:type="character" w:customStyle="1" w:styleId="FootnoteTextChar">
    <w:name w:val="Footnote Text Char"/>
    <w:basedOn w:val="DefaultParagraphFont"/>
    <w:link w:val="FootnoteText"/>
    <w:uiPriority w:val="99"/>
    <w:semiHidden/>
    <w:rsid w:val="008471EE"/>
    <w:rPr>
      <w:sz w:val="20"/>
      <w:szCs w:val="20"/>
    </w:rPr>
  </w:style>
  <w:style w:type="character" w:styleId="FootnoteReference">
    <w:name w:val="footnote reference"/>
    <w:basedOn w:val="DefaultParagraphFont"/>
    <w:uiPriority w:val="99"/>
    <w:semiHidden/>
    <w:unhideWhenUsed/>
    <w:rsid w:val="008471EE"/>
    <w:rPr>
      <w:vertAlign w:val="superscript"/>
    </w:rPr>
  </w:style>
  <w:style w:type="paragraph" w:styleId="NormalWeb">
    <w:name w:val="Normal (Web)"/>
    <w:basedOn w:val="Normal"/>
    <w:uiPriority w:val="99"/>
    <w:semiHidden/>
    <w:unhideWhenUsed/>
    <w:rsid w:val="00854142"/>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05FFF"/>
    <w:rPr>
      <w:b/>
      <w:bCs/>
    </w:rPr>
  </w:style>
  <w:style w:type="character" w:styleId="FollowedHyperlink">
    <w:name w:val="FollowedHyperlink"/>
    <w:basedOn w:val="DefaultParagraphFont"/>
    <w:uiPriority w:val="99"/>
    <w:semiHidden/>
    <w:unhideWhenUsed/>
    <w:rsid w:val="00F87936"/>
    <w:rPr>
      <w:color w:val="954F72" w:themeColor="followedHyperlink"/>
      <w:u w:val="single"/>
    </w:rPr>
  </w:style>
  <w:style w:type="table" w:styleId="TableGrid">
    <w:name w:val="Table Grid"/>
    <w:basedOn w:val="TableNormal"/>
    <w:uiPriority w:val="39"/>
    <w:rsid w:val="000F0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DE3D6F"/>
    <w:pPr>
      <w:spacing w:before="100" w:beforeAutospacing="1" w:after="100" w:afterAutospacing="1"/>
    </w:pPr>
    <w:rPr>
      <w:rFonts w:ascii="Times New Roman" w:eastAsia="Times New Roman" w:hAnsi="Times New Roman" w:cs="Times New Roman"/>
      <w:lang w:eastAsia="en-GB"/>
    </w:rPr>
  </w:style>
  <w:style w:type="paragraph" w:customStyle="1" w:styleId="xl63">
    <w:name w:val="xl63"/>
    <w:basedOn w:val="Normal"/>
    <w:rsid w:val="00DE3D6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color w:val="000000"/>
      <w:lang w:eastAsia="en-GB"/>
    </w:rPr>
  </w:style>
  <w:style w:type="paragraph" w:customStyle="1" w:styleId="xl64">
    <w:name w:val="xl64"/>
    <w:basedOn w:val="Normal"/>
    <w:rsid w:val="00DE3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color w:val="000000"/>
      <w:lang w:eastAsia="en-GB"/>
    </w:rPr>
  </w:style>
  <w:style w:type="paragraph" w:customStyle="1" w:styleId="xl65">
    <w:name w:val="xl65"/>
    <w:basedOn w:val="Normal"/>
    <w:rsid w:val="00DE3D6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000000"/>
      <w:lang w:eastAsia="en-GB"/>
    </w:rPr>
  </w:style>
  <w:style w:type="paragraph" w:customStyle="1" w:styleId="xl66">
    <w:name w:val="xl66"/>
    <w:basedOn w:val="Normal"/>
    <w:rsid w:val="00DE3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color w:val="000000"/>
      <w:lang w:eastAsia="en-GB"/>
    </w:rPr>
  </w:style>
  <w:style w:type="paragraph" w:customStyle="1" w:styleId="xl67">
    <w:name w:val="xl67"/>
    <w:basedOn w:val="Normal"/>
    <w:rsid w:val="00E86703"/>
    <w:pPr>
      <w:pBdr>
        <w:top w:val="single" w:sz="4" w:space="0" w:color="auto"/>
        <w:left w:val="single" w:sz="4" w:space="0" w:color="auto"/>
        <w:bottom w:val="single" w:sz="4" w:space="0" w:color="auto"/>
        <w:right w:val="single" w:sz="4" w:space="0" w:color="auto"/>
      </w:pBdr>
      <w:shd w:val="clear" w:color="000000" w:fill="E7F1F9"/>
      <w:spacing w:before="100" w:beforeAutospacing="1" w:after="100" w:afterAutospacing="1"/>
      <w:jc w:val="center"/>
    </w:pPr>
    <w:rPr>
      <w:rFonts w:ascii="Arial" w:eastAsia="Times New Roman" w:hAnsi="Arial" w:cs="Arial"/>
      <w:sz w:val="20"/>
      <w:szCs w:val="20"/>
      <w:lang w:eastAsia="en-GB"/>
    </w:rPr>
  </w:style>
  <w:style w:type="paragraph" w:customStyle="1" w:styleId="xl68">
    <w:name w:val="xl68"/>
    <w:basedOn w:val="Normal"/>
    <w:rsid w:val="00E8670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color w:val="002060"/>
      <w:sz w:val="20"/>
      <w:szCs w:val="20"/>
      <w:lang w:eastAsia="en-GB"/>
    </w:rPr>
  </w:style>
  <w:style w:type="paragraph" w:customStyle="1" w:styleId="xl69">
    <w:name w:val="xl69"/>
    <w:basedOn w:val="Normal"/>
    <w:rsid w:val="00E867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color w:val="002060"/>
      <w:sz w:val="20"/>
      <w:szCs w:val="20"/>
      <w:lang w:eastAsia="en-GB"/>
    </w:rPr>
  </w:style>
  <w:style w:type="paragraph" w:customStyle="1" w:styleId="xl70">
    <w:name w:val="xl70"/>
    <w:basedOn w:val="Normal"/>
    <w:rsid w:val="00E8670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eastAsia="en-GB"/>
    </w:rPr>
  </w:style>
  <w:style w:type="paragraph" w:customStyle="1" w:styleId="xl71">
    <w:name w:val="xl71"/>
    <w:basedOn w:val="Normal"/>
    <w:rsid w:val="00E867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0"/>
      <w:szCs w:val="20"/>
      <w:lang w:eastAsia="en-GB"/>
    </w:rPr>
  </w:style>
  <w:style w:type="paragraph" w:customStyle="1" w:styleId="xl72">
    <w:name w:val="xl72"/>
    <w:basedOn w:val="Normal"/>
    <w:rsid w:val="00E867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46570">
      <w:bodyDiv w:val="1"/>
      <w:marLeft w:val="0"/>
      <w:marRight w:val="0"/>
      <w:marTop w:val="0"/>
      <w:marBottom w:val="0"/>
      <w:divBdr>
        <w:top w:val="none" w:sz="0" w:space="0" w:color="auto"/>
        <w:left w:val="none" w:sz="0" w:space="0" w:color="auto"/>
        <w:bottom w:val="none" w:sz="0" w:space="0" w:color="auto"/>
        <w:right w:val="none" w:sz="0" w:space="0" w:color="auto"/>
      </w:divBdr>
    </w:div>
    <w:div w:id="752354072">
      <w:bodyDiv w:val="1"/>
      <w:marLeft w:val="0"/>
      <w:marRight w:val="0"/>
      <w:marTop w:val="0"/>
      <w:marBottom w:val="0"/>
      <w:divBdr>
        <w:top w:val="none" w:sz="0" w:space="0" w:color="auto"/>
        <w:left w:val="none" w:sz="0" w:space="0" w:color="auto"/>
        <w:bottom w:val="none" w:sz="0" w:space="0" w:color="auto"/>
        <w:right w:val="none" w:sz="0" w:space="0" w:color="auto"/>
      </w:divBdr>
    </w:div>
    <w:div w:id="1225793001">
      <w:bodyDiv w:val="1"/>
      <w:marLeft w:val="0"/>
      <w:marRight w:val="0"/>
      <w:marTop w:val="0"/>
      <w:marBottom w:val="0"/>
      <w:divBdr>
        <w:top w:val="none" w:sz="0" w:space="0" w:color="auto"/>
        <w:left w:val="none" w:sz="0" w:space="0" w:color="auto"/>
        <w:bottom w:val="none" w:sz="0" w:space="0" w:color="auto"/>
        <w:right w:val="none" w:sz="0" w:space="0" w:color="auto"/>
      </w:divBdr>
    </w:div>
    <w:div w:id="1232159553">
      <w:bodyDiv w:val="1"/>
      <w:marLeft w:val="0"/>
      <w:marRight w:val="0"/>
      <w:marTop w:val="0"/>
      <w:marBottom w:val="0"/>
      <w:divBdr>
        <w:top w:val="none" w:sz="0" w:space="0" w:color="auto"/>
        <w:left w:val="none" w:sz="0" w:space="0" w:color="auto"/>
        <w:bottom w:val="none" w:sz="0" w:space="0" w:color="auto"/>
        <w:right w:val="none" w:sz="0" w:space="0" w:color="auto"/>
      </w:divBdr>
    </w:div>
    <w:div w:id="1338539116">
      <w:bodyDiv w:val="1"/>
      <w:marLeft w:val="0"/>
      <w:marRight w:val="0"/>
      <w:marTop w:val="0"/>
      <w:marBottom w:val="0"/>
      <w:divBdr>
        <w:top w:val="none" w:sz="0" w:space="0" w:color="auto"/>
        <w:left w:val="none" w:sz="0" w:space="0" w:color="auto"/>
        <w:bottom w:val="none" w:sz="0" w:space="0" w:color="auto"/>
        <w:right w:val="none" w:sz="0" w:space="0" w:color="auto"/>
      </w:divBdr>
    </w:div>
    <w:div w:id="194827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7EC72F280989468972BE2E385AA00E" ma:contentTypeVersion="2" ma:contentTypeDescription="Create a new document." ma:contentTypeScope="" ma:versionID="8903fac69418dc3fb87801bee91c7abb">
  <xsd:schema xmlns:xsd="http://www.w3.org/2001/XMLSchema" xmlns:xs="http://www.w3.org/2001/XMLSchema" xmlns:p="http://schemas.microsoft.com/office/2006/metadata/properties" xmlns:ns2="9078c21f-045d-4a17-88f2-cd43e906a917" targetNamespace="http://schemas.microsoft.com/office/2006/metadata/properties" ma:root="true" ma:fieldsID="07192762bfe8524277403f249257a4f5" ns2:_="">
    <xsd:import namespace="9078c21f-045d-4a17-88f2-cd43e906a91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8c21f-045d-4a17-88f2-cd43e906a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03FDD3-2D55-4B2C-808A-9729429F6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8c21f-045d-4a17-88f2-cd43e906a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BBCCB1-205D-4FAD-97F0-75607CA6D4B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A45642-444E-4BDE-8272-26D55B40C8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9</Pages>
  <Words>6558</Words>
  <Characters>37385</Characters>
  <Application>Microsoft Office Word</Application>
  <DocSecurity>0</DocSecurity>
  <Lines>311</Lines>
  <Paragraphs>87</Paragraphs>
  <ScaleCrop>false</ScaleCrop>
  <Company/>
  <LinksUpToDate>false</LinksUpToDate>
  <CharactersWithSpaces>43856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Crabtree</dc:creator>
  <cp:keywords/>
  <dc:description/>
  <cp:lastModifiedBy>Ender Ozcan (staff)</cp:lastModifiedBy>
  <cp:revision>407</cp:revision>
  <dcterms:created xsi:type="dcterms:W3CDTF">2023-02-10T11:03:00Z</dcterms:created>
  <dcterms:modified xsi:type="dcterms:W3CDTF">2026-09-10T14:22:00Z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0x010100987EC72F280989468972BE2E385AA00E</vt:lpwstr>
  </property>
</Properties>
</file>