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6FBC3" w14:textId="438B7DDC" w:rsidR="00824F34" w:rsidRDefault="00000000">
      <w:pPr>
        <w:spacing w:after="60"/>
      </w:pPr>
      <w:r>
        <w:t>Bernd Carsten Stahl</w:t>
      </w:r>
    </w:p>
    <w:p w14:paraId="56C6FBC4" w14:textId="77777777" w:rsidR="00824F34" w:rsidRDefault="00000000">
      <w:pPr>
        <w:spacing w:after="60"/>
      </w:pPr>
      <w:r>
        <w:t>Professor of Critical Research in Technology</w:t>
      </w:r>
    </w:p>
    <w:p w14:paraId="56C6FBC5" w14:textId="77777777" w:rsidR="00824F34" w:rsidRDefault="00000000">
      <w:pPr>
        <w:spacing w:after="60"/>
      </w:pPr>
      <w:r>
        <w:t>School of Computer Science</w:t>
      </w:r>
    </w:p>
    <w:p w14:paraId="56C6FBC6" w14:textId="77777777" w:rsidR="00824F34" w:rsidRDefault="00000000">
      <w:pPr>
        <w:spacing w:after="60"/>
      </w:pPr>
      <w:r>
        <w:t>University of Nottingham</w:t>
      </w:r>
    </w:p>
    <w:p w14:paraId="56C6FBC7" w14:textId="77777777" w:rsidR="00824F34" w:rsidRDefault="00000000">
      <w:pPr>
        <w:spacing w:after="60"/>
      </w:pPr>
      <w:r>
        <w:t>Jubilee Campus</w:t>
      </w:r>
    </w:p>
    <w:p w14:paraId="56C6FBC8" w14:textId="77777777" w:rsidR="00824F34" w:rsidRDefault="00000000">
      <w:pPr>
        <w:spacing w:after="60"/>
      </w:pPr>
      <w:r>
        <w:t>Wollaton Road</w:t>
      </w:r>
    </w:p>
    <w:p w14:paraId="56C6FBC9" w14:textId="77777777" w:rsidR="00824F34" w:rsidRDefault="00000000">
      <w:pPr>
        <w:spacing w:after="60"/>
      </w:pPr>
      <w:r>
        <w:t>Nottingham NG8 1BB</w:t>
      </w:r>
    </w:p>
    <w:p w14:paraId="56C6FBCA" w14:textId="77777777" w:rsidR="00824F34" w:rsidRDefault="00000000">
      <w:pPr>
        <w:spacing w:after="280"/>
      </w:pPr>
      <w:r>
        <w:t xml:space="preserve"> </w:t>
      </w:r>
    </w:p>
    <w:p w14:paraId="56C6FBCB" w14:textId="77777777" w:rsidR="00824F34" w:rsidRDefault="00000000">
      <w:pPr>
        <w:spacing w:after="60"/>
      </w:pPr>
      <w:r>
        <w:t>June 2026</w:t>
      </w:r>
    </w:p>
    <w:p w14:paraId="56C6FBCC" w14:textId="77777777" w:rsidR="00824F34" w:rsidRDefault="00000000">
      <w:pPr>
        <w:spacing w:after="240"/>
      </w:pPr>
      <w:r>
        <w:t xml:space="preserve"> </w:t>
      </w:r>
    </w:p>
    <w:p w14:paraId="56C6FBCD" w14:textId="77777777" w:rsidR="00824F34" w:rsidRDefault="00000000">
      <w:pPr>
        <w:spacing w:after="200"/>
      </w:pPr>
      <w:r>
        <w:rPr>
          <w:b/>
          <w:bCs/>
          <w:color w:val="1F3A5F"/>
          <w:sz w:val="30"/>
          <w:szCs w:val="30"/>
        </w:rPr>
        <w:t>Individual response to the FN2 Dynamic Workload Model consultation</w:t>
      </w:r>
    </w:p>
    <w:p w14:paraId="56C6FBCE" w14:textId="77777777" w:rsidR="00824F34" w:rsidRDefault="00000000">
      <w:pPr>
        <w:spacing w:after="160" w:line="300" w:lineRule="auto"/>
        <w:jc w:val="both"/>
      </w:pPr>
      <w:r>
        <w:t>To whom it may concern,</w:t>
      </w:r>
    </w:p>
    <w:p w14:paraId="56C6FBCF" w14:textId="77777777" w:rsidR="00824F34" w:rsidRDefault="00000000">
      <w:pPr>
        <w:spacing w:after="160" w:line="300" w:lineRule="auto"/>
        <w:jc w:val="both"/>
      </w:pPr>
      <w:r>
        <w:t>This response is offered as an individual contribution to the consultation on the FN2 Dynamic Workload Model (Appendix E), submitted alongside, and intended to complement, the response from the Computer Science Professoriate of which I am a co-signatory.</w:t>
      </w:r>
    </w:p>
    <w:p w14:paraId="56C6FBD0" w14:textId="77777777" w:rsidR="00824F34" w:rsidRDefault="00000000">
      <w:pPr>
        <w:spacing w:after="160" w:line="300" w:lineRule="auto"/>
        <w:jc w:val="both"/>
      </w:pPr>
      <w:r>
        <w:t>I support the school response in full. The points set out below relate to two specific consultation questions on which the school explicitly notes that no consensus exists — Q1 (Core Workload Tax) and Q4 (Inclusion of PGR in Core Workload) — together with one further point on the baseline allocation that the school chose not to include in its collective response. The arguments below are my own, and I make them on my own behalf.</w:t>
      </w:r>
    </w:p>
    <w:p w14:paraId="56C6FBD1" w14:textId="77777777" w:rsidR="00824F34" w:rsidRDefault="00000000">
      <w:pPr>
        <w:pStyle w:val="Heading1"/>
        <w:spacing w:before="240" w:after="200"/>
      </w:pPr>
      <w:r>
        <w:t>Q1 Core Workload Tax — Individual Position</w:t>
      </w:r>
    </w:p>
    <w:p w14:paraId="56C6FBD2" w14:textId="77777777" w:rsidR="00824F34" w:rsidRDefault="00000000">
      <w:pPr>
        <w:spacing w:after="160" w:line="300" w:lineRule="auto"/>
        <w:jc w:val="both"/>
      </w:pPr>
      <w:r>
        <w:t>I do not support the proposal that Directors of Research be able to "tax" core workload down to 20% — that is, to reduce individual researchers' protected time below the 25% baseline — and aggregate the recovered time to support local priorities.</w:t>
      </w:r>
    </w:p>
    <w:p w14:paraId="56C6FBD3" w14:textId="77777777" w:rsidR="00824F34" w:rsidRDefault="00000000">
      <w:pPr>
        <w:spacing w:after="160" w:line="300" w:lineRule="auto"/>
        <w:jc w:val="both"/>
      </w:pPr>
      <w:r>
        <w:t>The strength of a baseline allocation is precisely that it is a baseline. If the University judges that 20% is the right floor figure, it should say so openly and consistently across the institution. If it judges that 25% is the right floor figure, that floor should be respected. Allowing a local discretionary range converts the workload model into a managerial lever rather than a transparent allocation: the percentage on paper ceases to be a meaningful entitlement and becomes the opening position in a local negotiation.</w:t>
      </w:r>
    </w:p>
    <w:p w14:paraId="56C6FBD4" w14:textId="77777777" w:rsidR="00824F34" w:rsidRDefault="00000000">
      <w:pPr>
        <w:spacing w:after="160" w:line="300" w:lineRule="auto"/>
        <w:jc w:val="both"/>
      </w:pPr>
      <w:r>
        <w:t>If the University wishes to fund specific areas — supporting early-career researchers, returners after career breaks, or strategic investment — these are legitimate goals, but they should be funded openly and from identified resources, not by re-allocating time away from the average researcher. Cross-subsidy by stealth is not the same as strategic investment, and it places the cost of strategic ambitions on the researchers least able to absorb it.</w:t>
      </w:r>
    </w:p>
    <w:p w14:paraId="56C6FBD5" w14:textId="77777777" w:rsidR="00824F34" w:rsidRDefault="00000000">
      <w:pPr>
        <w:spacing w:after="160" w:line="300" w:lineRule="auto"/>
        <w:jc w:val="both"/>
      </w:pPr>
      <w:r>
        <w:lastRenderedPageBreak/>
        <w:t>A further concern is equity. A local-discretion mechanism is, by its nature, hard to audit and is likely to produce uneven outcomes across Schools and Departments — precisely the problem the model is supposed to solve. The proposal also creates a structural conflict of interest: Directors of Research would be empowered to reduce the protected research time of colleagues in order to fund priorities for which they themselves are responsible.</w:t>
      </w:r>
    </w:p>
    <w:p w14:paraId="56C6FBD6" w14:textId="77777777" w:rsidR="00824F34" w:rsidRDefault="00000000">
      <w:pPr>
        <w:spacing w:after="160" w:line="300" w:lineRule="auto"/>
        <w:jc w:val="both"/>
      </w:pPr>
      <w:r>
        <w:t>My recommendation is that the baseline figure, whatever it is set at, be applied consistently and not be subject to discretionary local reduction.</w:t>
      </w:r>
    </w:p>
    <w:p w14:paraId="56C6FBD7" w14:textId="77777777" w:rsidR="00824F34" w:rsidRDefault="00000000">
      <w:pPr>
        <w:pStyle w:val="Heading1"/>
        <w:spacing w:before="240" w:after="200"/>
      </w:pPr>
      <w:r>
        <w:t>Q4 Inclusion of PGR Supervision in Core Workload — Individual Position</w:t>
      </w:r>
    </w:p>
    <w:p w14:paraId="56C6FBD8" w14:textId="77777777" w:rsidR="00824F34" w:rsidRDefault="00000000">
      <w:pPr>
        <w:spacing w:after="160" w:line="300" w:lineRule="auto"/>
        <w:jc w:val="both"/>
      </w:pPr>
      <w:r>
        <w:t>I endorse the unanimous position of the Computer Science Professoriate that, at a minimum, externally funded PGR supervision (for example, via UKRI awards or self-funded students) must sit above the baseline 25% research allocation. My individual view, however, is stronger: PGR supervision should not, under any circumstances, be included within the protected research workload, regardless of the source of funding.</w:t>
      </w:r>
    </w:p>
    <w:p w14:paraId="56C6FBD9" w14:textId="77777777" w:rsidR="00824F34" w:rsidRDefault="00000000">
      <w:pPr>
        <w:spacing w:after="160" w:line="300" w:lineRule="auto"/>
        <w:jc w:val="both"/>
      </w:pPr>
      <w:r>
        <w:t>The reasoning is as follows.</w:t>
      </w:r>
    </w:p>
    <w:p w14:paraId="56C6FBDA" w14:textId="77777777" w:rsidR="00824F34" w:rsidRDefault="00000000">
      <w:pPr>
        <w:spacing w:after="160" w:line="300" w:lineRule="auto"/>
        <w:jc w:val="both"/>
      </w:pPr>
      <w:r>
        <w:rPr>
          <w:b/>
          <w:bCs/>
        </w:rPr>
        <w:t xml:space="preserve">PGR supervision has its own income stream. </w:t>
      </w:r>
      <w:r>
        <w:t>Doctoral supervision is funded through fee income, scholarship and stipend funding, and — where applicable — the relevant DTP, CDT, or studentship contract. That funding is intended, in part, to fund supervisor time. Including supervision within the protected research workload creates a double-count: the time is paid for by one stream and then drawn from another.</w:t>
      </w:r>
    </w:p>
    <w:p w14:paraId="56C6FBDB" w14:textId="77777777" w:rsidR="00824F34" w:rsidRDefault="00000000">
      <w:pPr>
        <w:spacing w:after="160" w:line="300" w:lineRule="auto"/>
        <w:jc w:val="both"/>
      </w:pPr>
      <w:r>
        <w:rPr>
          <w:b/>
          <w:bCs/>
        </w:rPr>
        <w:t xml:space="preserve">Supervision is research training, and therefore teaching. </w:t>
      </w:r>
      <w:r>
        <w:t>In principle, doctoral supervision is research training. Research training is teaching. It should therefore sit within the Education and Student Experience (ESE) workload, ideally as a clearly identified sub-category, not within Research and Knowledge Exchange. The fact that supervisors sometimes derive research benefit from their PGRs' work is real but variable across disciplines, and is the exception in many fields rather than the rule.</w:t>
      </w:r>
    </w:p>
    <w:p w14:paraId="56C6FBDC" w14:textId="77777777" w:rsidR="00824F34" w:rsidRDefault="00000000">
      <w:pPr>
        <w:spacing w:after="160" w:line="300" w:lineRule="auto"/>
        <w:jc w:val="both"/>
      </w:pPr>
      <w:r>
        <w:rPr>
          <w:b/>
          <w:bCs/>
        </w:rPr>
        <w:t xml:space="preserve">Including supervision in RKE creates perverse incentives. </w:t>
      </w:r>
      <w:r>
        <w:t>If supervision is counted against the 25% baseline, every additional PGR student a member of staff supervises directly reduces the time available for that member of staff's own research outputs, grant capture, and impact work. This penalises active supervisors and runs against the institutional interest in increasing PGR recruitment.</w:t>
      </w:r>
    </w:p>
    <w:p w14:paraId="56C6FBDD" w14:textId="77777777" w:rsidR="00824F34" w:rsidRDefault="00000000">
      <w:pPr>
        <w:spacing w:after="160" w:line="300" w:lineRule="auto"/>
        <w:jc w:val="both"/>
      </w:pPr>
      <w:r>
        <w:rPr>
          <w:b/>
          <w:bCs/>
        </w:rPr>
        <w:t xml:space="preserve">It will reduce willingness to supervise. </w:t>
      </w:r>
      <w:r>
        <w:t>Where supervision eats into protected research time, rational staff will minimise their supervision load. The consequence will be: fewer PGR students recruited; less PGR-associated income; a weakened pipeline into research careers; and a reduction in the visibility of the University as a doctoral training destination. None of these are outcomes the FN2 programme should wish to engineer.</w:t>
      </w:r>
    </w:p>
    <w:p w14:paraId="56C6FBDE" w14:textId="77777777" w:rsidR="00824F34" w:rsidRDefault="00000000">
      <w:pPr>
        <w:spacing w:after="160" w:line="300" w:lineRule="auto"/>
        <w:jc w:val="both"/>
      </w:pPr>
      <w:r>
        <w:rPr>
          <w:b/>
          <w:bCs/>
        </w:rPr>
        <w:t xml:space="preserve">It is internally inconsistent with how the University already accounts for PGR supervision. </w:t>
      </w:r>
      <w:r>
        <w:t>PGR supervision is recognised institutionally as a distinct activity with its own quality assurance, training, recognition, and review processes — separate from individual research. Treating it as a sub-</w:t>
      </w:r>
      <w:r>
        <w:lastRenderedPageBreak/>
        <w:t>component of personal research workload undermines that institutional logic and conflates two different relationships: the supervisor–student relationship and the researcher–output relationship.</w:t>
      </w:r>
    </w:p>
    <w:p w14:paraId="56C6FBDF" w14:textId="77777777" w:rsidR="00824F34" w:rsidRDefault="00000000">
      <w:pPr>
        <w:spacing w:after="160" w:line="300" w:lineRule="auto"/>
        <w:jc w:val="both"/>
      </w:pPr>
      <w:r>
        <w:t>My recommendation is therefore that PGR supervision should be excluded from the RKE workload entirely, and should be recognised within the ESE workload (or in a distinct, named workload category) on the basis of supervisory load, supervisory role, and stage of student progression. The unanimous Computer Science Professoriate position on externally funded PGR is a necessary minimum; it should not be treated as sufficient.</w:t>
      </w:r>
    </w:p>
    <w:p w14:paraId="56C6FBE0" w14:textId="77777777" w:rsidR="00824F34" w:rsidRDefault="00000000">
      <w:pPr>
        <w:pStyle w:val="Heading1"/>
        <w:spacing w:before="240" w:after="200"/>
      </w:pPr>
      <w:r>
        <w:t>Clarity of Expectations — Baseline Allocation</w:t>
      </w:r>
    </w:p>
    <w:p w14:paraId="56C6FBE1" w14:textId="77777777" w:rsidR="00824F34" w:rsidRDefault="00000000">
      <w:pPr>
        <w:spacing w:after="160" w:line="300" w:lineRule="auto"/>
        <w:jc w:val="both"/>
      </w:pPr>
      <w:r>
        <w:t>A further point on the baseline allocation, which I raise on my own behalf. The consultation document specifies an input — 25% of contracted time — but is largely silent on the outputs and outcomes expected from that input.</w:t>
      </w:r>
    </w:p>
    <w:p w14:paraId="56C6FBE2" w14:textId="77777777" w:rsidR="00824F34" w:rsidRDefault="00000000">
      <w:pPr>
        <w:spacing w:after="160" w:line="300" w:lineRule="auto"/>
        <w:jc w:val="both"/>
      </w:pPr>
      <w:r>
        <w:t>I acknowledge that, in this School at least, the promotion criteria and the ADC framework together provide an articulation of what is expected of Research and Teaching staff: contributions to teaching at the appropriate level, an administrative role, citizenship activity, attempts to obtain research funding as PI or Co-I, and the production of REF-returnable outputs. That framework is helpful and provides a starting point.</w:t>
      </w:r>
    </w:p>
    <w:p w14:paraId="56C6FBE3" w14:textId="77777777" w:rsidR="00824F34" w:rsidRDefault="00000000">
      <w:pPr>
        <w:spacing w:after="160" w:line="300" w:lineRule="auto"/>
        <w:jc w:val="both"/>
      </w:pPr>
      <w:r>
        <w:t>It is, however, a starting point rather than a complete answer. The promotion criteria identify the areas in which staff are expected to be active, but they do not specify the level of activity expected against the baseline 25%: the minimum grant income that should be applied for or held, the expected number and quality of outputs over a given period, citation or other metrics where these are appropriate, the expected scale of impact and engagement work, and so on. These specifications inevitably vary by discipline and by individual career stage, and that variation is itself part of the issue: a model that allocates a uniform 25% input across all R&amp;T staff but is silent on the corresponding output is a model that leaves expectations to be applied retrospectively at the point of appraisal, promotion, or REF selection. That is the asymmetry I am concerned about.</w:t>
      </w:r>
    </w:p>
    <w:p w14:paraId="56C6FBE4" w14:textId="77777777" w:rsidR="00824F34" w:rsidRDefault="00000000">
      <w:pPr>
        <w:spacing w:after="160" w:line="300" w:lineRule="auto"/>
        <w:jc w:val="both"/>
      </w:pPr>
      <w:r>
        <w:t>My recommendation is that the model be accompanied by a clearer statement of expected outputs and outcomes — anchored to the existing promotion and ADC frameworks, but going further than them — with the following features:</w:t>
      </w:r>
    </w:p>
    <w:p w14:paraId="56C6FBE5" w14:textId="77777777" w:rsidR="00824F34" w:rsidRDefault="00000000">
      <w:pPr>
        <w:pStyle w:val="ListParagraph"/>
        <w:numPr>
          <w:ilvl w:val="0"/>
          <w:numId w:val="2"/>
        </w:numPr>
        <w:spacing w:after="100" w:line="300" w:lineRule="auto"/>
      </w:pPr>
      <w:r>
        <w:t>Expectations articulated in terms appropriate to the discipline and the individual's role (research-intensive, teaching-and-research, contract-research, and so on).</w:t>
      </w:r>
    </w:p>
    <w:p w14:paraId="56C6FBE6" w14:textId="77777777" w:rsidR="00824F34" w:rsidRDefault="00000000">
      <w:pPr>
        <w:pStyle w:val="ListParagraph"/>
        <w:numPr>
          <w:ilvl w:val="0"/>
          <w:numId w:val="2"/>
        </w:numPr>
        <w:spacing w:after="100" w:line="300" w:lineRule="auto"/>
      </w:pPr>
      <w:r>
        <w:t>Expectations agreed in advance, recorded, and reviewed periodically, rather than applied retrospectively.</w:t>
      </w:r>
    </w:p>
    <w:p w14:paraId="56C6FBE7" w14:textId="77777777" w:rsidR="00824F34" w:rsidRDefault="00000000">
      <w:pPr>
        <w:pStyle w:val="ListParagraph"/>
        <w:numPr>
          <w:ilvl w:val="0"/>
          <w:numId w:val="2"/>
        </w:numPr>
        <w:spacing w:after="100" w:line="300" w:lineRule="auto"/>
      </w:pPr>
      <w:r>
        <w:t>Expectations that scale appropriately when externally funded buy-out takes an individual's research workload above the baseline.</w:t>
      </w:r>
    </w:p>
    <w:p w14:paraId="56C6FBE8" w14:textId="77777777" w:rsidR="00824F34" w:rsidRDefault="00000000">
      <w:pPr>
        <w:pStyle w:val="ListParagraph"/>
        <w:numPr>
          <w:ilvl w:val="0"/>
          <w:numId w:val="2"/>
        </w:numPr>
        <w:spacing w:after="100" w:line="300" w:lineRule="auto"/>
      </w:pPr>
      <w:r>
        <w:t>A defined route by which staff can see, query, and if necessary contest the expectations being applied to them.</w:t>
      </w:r>
    </w:p>
    <w:p w14:paraId="56C6FBE9" w14:textId="77777777" w:rsidR="00824F34" w:rsidRDefault="00000000">
      <w:pPr>
        <w:spacing w:after="160" w:line="300" w:lineRule="auto"/>
        <w:jc w:val="both"/>
      </w:pPr>
      <w:r>
        <w:lastRenderedPageBreak/>
        <w:t>Without this layer, the model risks becoming a one-sided agreement: clear about what the University allocates, unclear about what the University expects in return. That asymmetry is not in the interest of staff, managers, or the institution as a whole.</w:t>
      </w:r>
    </w:p>
    <w:p w14:paraId="56C6FBEA" w14:textId="77777777" w:rsidR="00824F34" w:rsidRDefault="00000000">
      <w:pPr>
        <w:pStyle w:val="Heading1"/>
        <w:spacing w:before="240" w:after="200"/>
      </w:pPr>
      <w:r>
        <w:t>Closing</w:t>
      </w:r>
    </w:p>
    <w:p w14:paraId="56C6FBEB" w14:textId="77777777" w:rsidR="00824F34" w:rsidRDefault="00000000">
      <w:pPr>
        <w:spacing w:after="160" w:line="300" w:lineRule="auto"/>
        <w:jc w:val="both"/>
      </w:pPr>
      <w:r>
        <w:t>I support the move to a clearer, more transparent, and more equitable workload model, and I support the collective response submitted by the Computer Science Professoriate. The three points set out above record where my individual view goes beyond, or differs from, the collective position, and are offered in the same constructive spirit as the school response: to strengthen the proposal so that it delivers the consistency, equity, and protection of research capacity that the FN2 programme states it is intended to achieve.</w:t>
      </w:r>
    </w:p>
    <w:p w14:paraId="56C6FBEC" w14:textId="77777777" w:rsidR="00824F34" w:rsidRDefault="00000000">
      <w:pPr>
        <w:spacing w:after="160" w:line="300" w:lineRule="auto"/>
        <w:jc w:val="both"/>
      </w:pPr>
      <w:r>
        <w:t>I am happy to discuss any of the above in more detail if that would be useful.</w:t>
      </w:r>
    </w:p>
    <w:p w14:paraId="56C6FBED" w14:textId="77777777" w:rsidR="00824F34" w:rsidRDefault="00000000">
      <w:pPr>
        <w:spacing w:after="240"/>
      </w:pPr>
      <w:r>
        <w:t xml:space="preserve"> </w:t>
      </w:r>
    </w:p>
    <w:p w14:paraId="56C6FBEE" w14:textId="5161308E" w:rsidR="00824F34" w:rsidRDefault="00000000">
      <w:pPr>
        <w:spacing w:after="60"/>
      </w:pPr>
      <w:r>
        <w:t xml:space="preserve">Yours </w:t>
      </w:r>
      <w:r w:rsidR="003F2AC3">
        <w:t>sincerely</w:t>
      </w:r>
      <w:r>
        <w:t>,</w:t>
      </w:r>
    </w:p>
    <w:p w14:paraId="56C6FBEF" w14:textId="77777777" w:rsidR="00824F34" w:rsidRDefault="00000000">
      <w:pPr>
        <w:spacing w:after="320"/>
      </w:pPr>
      <w:r>
        <w:t xml:space="preserve"> </w:t>
      </w:r>
    </w:p>
    <w:p w14:paraId="56C6FBF0" w14:textId="77777777" w:rsidR="00824F34" w:rsidRDefault="00000000">
      <w:pPr>
        <w:spacing w:after="60"/>
      </w:pPr>
      <w:r>
        <w:rPr>
          <w:b/>
          <w:bCs/>
        </w:rPr>
        <w:t>Professor Bernd Carsten Stahl</w:t>
      </w:r>
    </w:p>
    <w:p w14:paraId="56C6FBF1" w14:textId="77777777" w:rsidR="00824F34" w:rsidRDefault="00000000">
      <w:pPr>
        <w:spacing w:after="60"/>
      </w:pPr>
      <w:r>
        <w:t>Professor of Critical Research in Technology</w:t>
      </w:r>
    </w:p>
    <w:p w14:paraId="56C6FBF2" w14:textId="77777777" w:rsidR="00824F34" w:rsidRDefault="00000000">
      <w:pPr>
        <w:spacing w:after="60"/>
      </w:pPr>
      <w:r>
        <w:t>School of Computer Science, University of Nottingham</w:t>
      </w:r>
    </w:p>
    <w:sectPr w:rsidR="00824F34">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0E4059"/>
    <w:multiLevelType w:val="hybridMultilevel"/>
    <w:tmpl w:val="AC28F746"/>
    <w:lvl w:ilvl="0" w:tplc="C6A6722E">
      <w:start w:val="1"/>
      <w:numFmt w:val="bullet"/>
      <w:lvlText w:val="•"/>
      <w:lvlJc w:val="left"/>
      <w:pPr>
        <w:ind w:left="720" w:hanging="360"/>
      </w:pPr>
    </w:lvl>
    <w:lvl w:ilvl="1" w:tplc="AC7ECE2C">
      <w:numFmt w:val="decimal"/>
      <w:lvlText w:val=""/>
      <w:lvlJc w:val="left"/>
    </w:lvl>
    <w:lvl w:ilvl="2" w:tplc="1E8ADBF6">
      <w:numFmt w:val="decimal"/>
      <w:lvlText w:val=""/>
      <w:lvlJc w:val="left"/>
    </w:lvl>
    <w:lvl w:ilvl="3" w:tplc="092654C4">
      <w:numFmt w:val="decimal"/>
      <w:lvlText w:val=""/>
      <w:lvlJc w:val="left"/>
    </w:lvl>
    <w:lvl w:ilvl="4" w:tplc="6C903D04">
      <w:numFmt w:val="decimal"/>
      <w:lvlText w:val=""/>
      <w:lvlJc w:val="left"/>
    </w:lvl>
    <w:lvl w:ilvl="5" w:tplc="4B36B4C6">
      <w:numFmt w:val="decimal"/>
      <w:lvlText w:val=""/>
      <w:lvlJc w:val="left"/>
    </w:lvl>
    <w:lvl w:ilvl="6" w:tplc="9710CC36">
      <w:numFmt w:val="decimal"/>
      <w:lvlText w:val=""/>
      <w:lvlJc w:val="left"/>
    </w:lvl>
    <w:lvl w:ilvl="7" w:tplc="F3769354">
      <w:numFmt w:val="decimal"/>
      <w:lvlText w:val=""/>
      <w:lvlJc w:val="left"/>
    </w:lvl>
    <w:lvl w:ilvl="8" w:tplc="8B04867A">
      <w:numFmt w:val="decimal"/>
      <w:lvlText w:val=""/>
      <w:lvlJc w:val="left"/>
    </w:lvl>
  </w:abstractNum>
  <w:abstractNum w:abstractNumId="1" w15:restartNumberingAfterBreak="0">
    <w:nsid w:val="2AB407E7"/>
    <w:multiLevelType w:val="hybridMultilevel"/>
    <w:tmpl w:val="7ABAB2C0"/>
    <w:lvl w:ilvl="0" w:tplc="100E4570">
      <w:start w:val="1"/>
      <w:numFmt w:val="bullet"/>
      <w:lvlText w:val="●"/>
      <w:lvlJc w:val="left"/>
      <w:pPr>
        <w:ind w:left="720" w:hanging="360"/>
      </w:pPr>
    </w:lvl>
    <w:lvl w:ilvl="1" w:tplc="4EDA6506">
      <w:start w:val="1"/>
      <w:numFmt w:val="bullet"/>
      <w:lvlText w:val="○"/>
      <w:lvlJc w:val="left"/>
      <w:pPr>
        <w:ind w:left="1440" w:hanging="360"/>
      </w:pPr>
    </w:lvl>
    <w:lvl w:ilvl="2" w:tplc="34D8AB02">
      <w:start w:val="1"/>
      <w:numFmt w:val="bullet"/>
      <w:lvlText w:val="■"/>
      <w:lvlJc w:val="left"/>
      <w:pPr>
        <w:ind w:left="2160" w:hanging="360"/>
      </w:pPr>
    </w:lvl>
    <w:lvl w:ilvl="3" w:tplc="0FDCC65E">
      <w:start w:val="1"/>
      <w:numFmt w:val="bullet"/>
      <w:lvlText w:val="●"/>
      <w:lvlJc w:val="left"/>
      <w:pPr>
        <w:ind w:left="2880" w:hanging="360"/>
      </w:pPr>
    </w:lvl>
    <w:lvl w:ilvl="4" w:tplc="A22CFFB8">
      <w:start w:val="1"/>
      <w:numFmt w:val="bullet"/>
      <w:lvlText w:val="○"/>
      <w:lvlJc w:val="left"/>
      <w:pPr>
        <w:ind w:left="3600" w:hanging="360"/>
      </w:pPr>
    </w:lvl>
    <w:lvl w:ilvl="5" w:tplc="EE7EDF50">
      <w:start w:val="1"/>
      <w:numFmt w:val="bullet"/>
      <w:lvlText w:val="■"/>
      <w:lvlJc w:val="left"/>
      <w:pPr>
        <w:ind w:left="4320" w:hanging="360"/>
      </w:pPr>
    </w:lvl>
    <w:lvl w:ilvl="6" w:tplc="A184C1DC">
      <w:start w:val="1"/>
      <w:numFmt w:val="bullet"/>
      <w:lvlText w:val="●"/>
      <w:lvlJc w:val="left"/>
      <w:pPr>
        <w:ind w:left="5040" w:hanging="360"/>
      </w:pPr>
    </w:lvl>
    <w:lvl w:ilvl="7" w:tplc="A0D6D9E6">
      <w:start w:val="1"/>
      <w:numFmt w:val="bullet"/>
      <w:lvlText w:val="●"/>
      <w:lvlJc w:val="left"/>
      <w:pPr>
        <w:ind w:left="5760" w:hanging="360"/>
      </w:pPr>
    </w:lvl>
    <w:lvl w:ilvl="8" w:tplc="0FC698BE">
      <w:start w:val="1"/>
      <w:numFmt w:val="bullet"/>
      <w:lvlText w:val="●"/>
      <w:lvlJc w:val="left"/>
      <w:pPr>
        <w:ind w:left="6480" w:hanging="360"/>
      </w:pPr>
    </w:lvl>
  </w:abstractNum>
  <w:num w:numId="1" w16cid:durableId="1606884915">
    <w:abstractNumId w:val="1"/>
    <w:lvlOverride w:ilvl="0">
      <w:startOverride w:val="1"/>
    </w:lvlOverride>
  </w:num>
  <w:num w:numId="2" w16cid:durableId="22403044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F34"/>
    <w:rsid w:val="003F2AC3"/>
    <w:rsid w:val="00824F34"/>
    <w:rsid w:val="009255AD"/>
    <w:rsid w:val="00A31E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6FBC3"/>
  <w15:docId w15:val="{1CEA3250-7B06-4028-B548-4B6B10E40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80" w:after="180"/>
      <w:outlineLvl w:val="0"/>
    </w:pPr>
    <w:rPr>
      <w:b/>
      <w:bCs/>
      <w:color w:val="1F3A5F"/>
      <w:sz w:val="28"/>
      <w:szCs w:val="2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1388</Words>
  <Characters>7918</Characters>
  <Application>Microsoft Office Word</Application>
  <DocSecurity>0</DocSecurity>
  <Lines>65</Lines>
  <Paragraphs>18</Paragraphs>
  <ScaleCrop>false</ScaleCrop>
  <Company/>
  <LinksUpToDate>false</LinksUpToDate>
  <CharactersWithSpaces>9288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Bernd Stahl (staff)</cp:lastModifiedBy>
  <cp:revision>3</cp:revision>
  <dcterms:created xsi:type="dcterms:W3CDTF">2026-06-03T12:38:00Z</dcterms:created>
  <dcterms:modified xsi:type="dcterms:W3CDTF">2026-06-04T20:32:00Z</dcterms:modified>
</cp:coreProperties>
</file>